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4B83" w14:textId="77777777" w:rsidR="008B24E9" w:rsidRPr="003C24F9" w:rsidRDefault="001D6D22" w:rsidP="008B24E9">
      <w:pPr>
        <w:rPr>
          <w:rFonts w:asciiTheme="majorHAnsi" w:hAnsiTheme="majorHAnsi" w:cs="Times New Roman"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76672" behindDoc="0" locked="0" layoutInCell="1" allowOverlap="1" wp14:anchorId="04715DCD" wp14:editId="0C282943">
            <wp:simplePos x="0" y="0"/>
            <wp:positionH relativeFrom="margin">
              <wp:posOffset>285750</wp:posOffset>
            </wp:positionH>
            <wp:positionV relativeFrom="paragraph">
              <wp:posOffset>6985</wp:posOffset>
            </wp:positionV>
            <wp:extent cx="1493520" cy="660400"/>
            <wp:effectExtent l="0" t="0" r="0" b="635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ok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4F9">
        <w:rPr>
          <w:noProof/>
          <w:lang w:val="sk-SK" w:eastAsia="sk-SK"/>
        </w:rPr>
        <w:drawing>
          <wp:anchor distT="0" distB="0" distL="114300" distR="114300" simplePos="0" relativeHeight="251682816" behindDoc="0" locked="0" layoutInCell="1" allowOverlap="1" wp14:anchorId="7BC3B41F" wp14:editId="1DE1FFBA">
            <wp:simplePos x="0" y="0"/>
            <wp:positionH relativeFrom="margin">
              <wp:posOffset>3540760</wp:posOffset>
            </wp:positionH>
            <wp:positionV relativeFrom="paragraph">
              <wp:posOffset>6350</wp:posOffset>
            </wp:positionV>
            <wp:extent cx="1694815" cy="533400"/>
            <wp:effectExtent l="0" t="0" r="635" b="0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ok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893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4703549A" w14:textId="77777777" w:rsidR="008B24E9" w:rsidRPr="003C24F9" w:rsidRDefault="001D6D22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83840" behindDoc="0" locked="0" layoutInCell="1" allowOverlap="1" wp14:anchorId="021C3CCB" wp14:editId="1054F065">
            <wp:simplePos x="0" y="0"/>
            <wp:positionH relativeFrom="margin">
              <wp:posOffset>285750</wp:posOffset>
            </wp:positionH>
            <wp:positionV relativeFrom="paragraph">
              <wp:posOffset>487680</wp:posOffset>
            </wp:positionV>
            <wp:extent cx="1670050" cy="407670"/>
            <wp:effectExtent l="0" t="0" r="6350" b="0"/>
            <wp:wrapNone/>
            <wp:docPr id="35" name="Obrázok 35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4F9">
        <w:rPr>
          <w:noProof/>
          <w:lang w:val="sk-SK" w:eastAsia="sk-SK"/>
        </w:rPr>
        <w:drawing>
          <wp:anchor distT="0" distB="0" distL="114300" distR="114300" simplePos="0" relativeHeight="251670528" behindDoc="0" locked="0" layoutInCell="1" allowOverlap="1" wp14:anchorId="25971276" wp14:editId="2FABF316">
            <wp:simplePos x="0" y="0"/>
            <wp:positionH relativeFrom="margin">
              <wp:posOffset>3540760</wp:posOffset>
            </wp:positionH>
            <wp:positionV relativeFrom="paragraph">
              <wp:posOffset>398780</wp:posOffset>
            </wp:positionV>
            <wp:extent cx="1896745" cy="679450"/>
            <wp:effectExtent l="0" t="0" r="8255" b="6350"/>
            <wp:wrapTopAndBottom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6113" w14:textId="77777777" w:rsidR="008B24E9" w:rsidRPr="003C24F9" w:rsidRDefault="00913ED7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  <w:r w:rsidRPr="003C24F9">
        <w:rPr>
          <w:noProof/>
          <w:lang w:val="sk-SK" w:eastAsia="sk-SK"/>
        </w:rPr>
        <w:drawing>
          <wp:anchor distT="0" distB="0" distL="114300" distR="114300" simplePos="0" relativeHeight="251684864" behindDoc="0" locked="0" layoutInCell="1" allowOverlap="1" wp14:anchorId="72997200" wp14:editId="03B75022">
            <wp:simplePos x="0" y="0"/>
            <wp:positionH relativeFrom="margin">
              <wp:align>center</wp:align>
            </wp:positionH>
            <wp:positionV relativeFrom="paragraph">
              <wp:posOffset>985520</wp:posOffset>
            </wp:positionV>
            <wp:extent cx="3051395" cy="831850"/>
            <wp:effectExtent l="0" t="0" r="0" b="6350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9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FA88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2AE90B1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495A9F4F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49E778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E5B9FF3" w14:textId="77777777" w:rsidR="008B24E9" w:rsidRPr="003C24F9" w:rsidRDefault="008B24E9" w:rsidP="008B24E9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5C14126E" w14:textId="77777777" w:rsidR="008B24E9" w:rsidRPr="003C24F9" w:rsidRDefault="008B24E9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0913E80C" w14:textId="77777777" w:rsidR="00E900F8" w:rsidRPr="003C24F9" w:rsidRDefault="00E900F8" w:rsidP="008B24E9">
      <w:pPr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5BB9BEEB" w14:textId="77777777" w:rsidR="008B24E9" w:rsidRPr="003C24F9" w:rsidRDefault="008B24E9" w:rsidP="008B24E9">
      <w:pPr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7FDE1DCD" w14:textId="77777777" w:rsidR="00082FC1" w:rsidRPr="003C24F9" w:rsidRDefault="00921372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 xml:space="preserve">Výzva </w:t>
      </w:r>
      <w:r w:rsidR="00B10DF8" w:rsidRPr="003C24F9">
        <w:rPr>
          <w:rFonts w:ascii="Calibri Light" w:hAnsi="Calibri Light"/>
          <w:sz w:val="28"/>
          <w:lang w:val="sk-SK"/>
        </w:rPr>
        <w:t xml:space="preserve">pre </w:t>
      </w:r>
      <w:r w:rsidR="00082FC1" w:rsidRPr="003C24F9">
        <w:rPr>
          <w:rFonts w:ascii="Calibri Light" w:hAnsi="Calibri Light"/>
          <w:sz w:val="28"/>
          <w:lang w:val="sk-SK"/>
        </w:rPr>
        <w:t xml:space="preserve">malé a stredné podniky na vyjadrenie záujmu o zapojenie sa </w:t>
      </w:r>
    </w:p>
    <w:p w14:paraId="072A38EA" w14:textId="77777777" w:rsidR="00082FC1" w:rsidRPr="003C24F9" w:rsidRDefault="00082FC1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>do SCHÉMY ŠTÁTNEJ POMOCI</w:t>
      </w:r>
    </w:p>
    <w:p w14:paraId="79D60ACC" w14:textId="77777777" w:rsidR="00406A32" w:rsidRPr="003C24F9" w:rsidRDefault="00082FC1" w:rsidP="00082FC1">
      <w:pPr>
        <w:jc w:val="center"/>
        <w:rPr>
          <w:rFonts w:ascii="Calibri Light" w:hAnsi="Calibri Light"/>
          <w:sz w:val="28"/>
          <w:lang w:val="sk-SK"/>
        </w:rPr>
      </w:pPr>
      <w:r w:rsidRPr="003C24F9">
        <w:rPr>
          <w:rFonts w:ascii="Calibri Light" w:hAnsi="Calibri Light"/>
          <w:sz w:val="28"/>
          <w:lang w:val="sk-SK"/>
        </w:rPr>
        <w:t>NA PODPORU INOVATÍVNYCH PODNIKOV S OBMEDZENÝM PRÍSTUPOM K ÚVEROVÉMU FINANCOVANIU ZDROJMI EŠIF V SÚVISLOSTI S NÁKAZOU COVID-19 – SIH</w:t>
      </w:r>
    </w:p>
    <w:p w14:paraId="2369313E" w14:textId="77777777" w:rsidR="00EC709E" w:rsidRPr="003C24F9" w:rsidRDefault="00EC709E" w:rsidP="00913ED7">
      <w:pPr>
        <w:jc w:val="center"/>
        <w:rPr>
          <w:rFonts w:ascii="Calibri Light" w:hAnsi="Calibri Light"/>
          <w:sz w:val="24"/>
          <w:szCs w:val="20"/>
          <w:lang w:val="sk-SK"/>
        </w:rPr>
      </w:pPr>
      <w:r w:rsidRPr="003C24F9">
        <w:rPr>
          <w:rFonts w:ascii="Calibri Light" w:hAnsi="Calibri Light"/>
          <w:sz w:val="24"/>
          <w:szCs w:val="20"/>
          <w:lang w:val="sk-SK"/>
        </w:rPr>
        <w:t>(</w:t>
      </w:r>
      <w:r w:rsidR="00CD5B53" w:rsidRPr="003C24F9">
        <w:rPr>
          <w:rFonts w:ascii="Calibri Light" w:hAnsi="Calibri Light"/>
          <w:sz w:val="24"/>
          <w:szCs w:val="20"/>
          <w:lang w:val="sk-SK"/>
        </w:rPr>
        <w:t>Program konvertibilných úverov pre inovatívne podniky</w:t>
      </w:r>
      <w:r w:rsidR="00082FC1" w:rsidRPr="003C24F9">
        <w:rPr>
          <w:rFonts w:ascii="Calibri Light" w:hAnsi="Calibri Light"/>
          <w:sz w:val="24"/>
          <w:szCs w:val="20"/>
          <w:lang w:val="sk-SK"/>
        </w:rPr>
        <w:t>)</w:t>
      </w:r>
    </w:p>
    <w:p w14:paraId="1592D831" w14:textId="77777777" w:rsidR="009673D6" w:rsidRPr="003C24F9" w:rsidRDefault="009673D6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3D7C79E9" w14:textId="77777777" w:rsidR="00E900F8" w:rsidRPr="003C24F9" w:rsidRDefault="00E900F8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6B5DBCA1" w14:textId="77777777" w:rsidR="00E900F8" w:rsidRPr="003C24F9" w:rsidRDefault="00E900F8" w:rsidP="00E900F8">
      <w:pPr>
        <w:jc w:val="center"/>
        <w:rPr>
          <w:rFonts w:asciiTheme="majorHAnsi" w:hAnsiTheme="majorHAnsi" w:cs="Times New Roman"/>
          <w:b/>
          <w:bCs/>
          <w:sz w:val="24"/>
          <w:szCs w:val="24"/>
          <w:lang w:val="sk-SK"/>
        </w:rPr>
      </w:pPr>
    </w:p>
    <w:p w14:paraId="061A564A" w14:textId="77777777" w:rsidR="00E900F8" w:rsidRPr="003C24F9" w:rsidRDefault="00E900F8" w:rsidP="005645F2">
      <w:pPr>
        <w:spacing w:after="240" w:line="360" w:lineRule="auto"/>
        <w:rPr>
          <w:rFonts w:asciiTheme="majorHAnsi" w:hAnsiTheme="majorHAnsi"/>
          <w:b/>
          <w:sz w:val="24"/>
          <w:lang w:val="sk-SK"/>
        </w:rPr>
        <w:sectPr w:rsidR="00E900F8" w:rsidRPr="003C24F9" w:rsidSect="00697A29">
          <w:foot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3B6D1AA4" w14:textId="77777777" w:rsidR="00BE4C8D" w:rsidRPr="003C24F9" w:rsidRDefault="00807F21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Úvod</w:t>
      </w:r>
    </w:p>
    <w:p w14:paraId="63A3E389" w14:textId="20569F50" w:rsidR="00082FC1" w:rsidRDefault="00B065A9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 nadväznosti na </w:t>
      </w:r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schválenie </w:t>
      </w:r>
      <w:bookmarkStart w:id="0" w:name="_Hlk50018095"/>
      <w:r w:rsidR="00082FC1" w:rsidRPr="003C24F9">
        <w:rPr>
          <w:rFonts w:asciiTheme="majorHAnsi" w:hAnsiTheme="majorHAnsi"/>
          <w:sz w:val="20"/>
          <w:szCs w:val="20"/>
          <w:lang w:val="sk-SK"/>
        </w:rPr>
        <w:t>Schémy štátnej pomoci na podporu inovatívnych podnikov s obmedzeným prístupom k úverovému financovaniu zdrojmi EŠIF v súvislosti s nákazou COVID-19 – SIH</w:t>
      </w:r>
      <w:bookmarkEnd w:id="0"/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 („Schéma“) Európskou komisiou a jej zverejnenie 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>22.8.2020 v Úradnom vestníku EÚ č. C277</w:t>
      </w:r>
      <w:r w:rsidR="00082FC1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spúšťa spoločnosť Slovak </w:t>
      </w:r>
      <w:proofErr w:type="spellStart"/>
      <w:r w:rsidRPr="003C24F9">
        <w:rPr>
          <w:rFonts w:asciiTheme="majorHAnsi" w:hAnsiTheme="majorHAnsi"/>
          <w:sz w:val="20"/>
          <w:szCs w:val="20"/>
          <w:lang w:val="sk-SK"/>
        </w:rPr>
        <w:t>Investment</w:t>
      </w:r>
      <w:proofErr w:type="spellEnd"/>
      <w:r w:rsidRPr="003C24F9">
        <w:rPr>
          <w:rFonts w:asciiTheme="majorHAnsi" w:hAnsiTheme="majorHAnsi"/>
          <w:sz w:val="20"/>
          <w:szCs w:val="20"/>
          <w:lang w:val="sk-SK"/>
        </w:rPr>
        <w:t xml:space="preserve"> Holding, a. s. (</w:t>
      </w:r>
      <w:r w:rsidR="006D1751" w:rsidRPr="003C24F9">
        <w:rPr>
          <w:rFonts w:asciiTheme="majorHAnsi" w:hAnsiTheme="majorHAnsi"/>
          <w:sz w:val="20"/>
          <w:szCs w:val="20"/>
          <w:lang w:val="sk-SK"/>
        </w:rPr>
        <w:t>„</w:t>
      </w:r>
      <w:r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6D1751" w:rsidRPr="003C24F9">
        <w:rPr>
          <w:rFonts w:asciiTheme="majorHAnsi" w:hAnsiTheme="majorHAnsi"/>
          <w:sz w:val="20"/>
          <w:szCs w:val="20"/>
          <w:lang w:val="sk-SK"/>
        </w:rPr>
        <w:t>“</w:t>
      </w:r>
      <w:r w:rsidRPr="003C24F9">
        <w:rPr>
          <w:rFonts w:asciiTheme="majorHAnsi" w:hAnsiTheme="majorHAnsi"/>
          <w:sz w:val="20"/>
          <w:szCs w:val="20"/>
          <w:lang w:val="sk-SK"/>
        </w:rPr>
        <w:t>)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>program finančnej pomoci pre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inovatívne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slovenské podniky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 formou konvertibilných úverov.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710088" w:rsidRPr="003C24F9">
        <w:rPr>
          <w:rFonts w:asciiTheme="majorHAnsi" w:hAnsiTheme="majorHAnsi"/>
          <w:sz w:val="20"/>
          <w:szCs w:val="20"/>
          <w:lang w:val="sk-SK"/>
        </w:rPr>
        <w:t xml:space="preserve">Schéma bola pripravená v súlade s </w:t>
      </w:r>
      <w:r w:rsidRPr="003C24F9">
        <w:rPr>
          <w:rFonts w:asciiTheme="majorHAnsi" w:hAnsiTheme="majorHAnsi"/>
          <w:sz w:val="20"/>
          <w:szCs w:val="20"/>
          <w:lang w:val="sk-SK"/>
        </w:rPr>
        <w:t>Dočas</w:t>
      </w:r>
      <w:r w:rsidR="005C72C4" w:rsidRPr="003C24F9">
        <w:rPr>
          <w:rFonts w:asciiTheme="majorHAnsi" w:hAnsiTheme="majorHAnsi"/>
          <w:sz w:val="20"/>
          <w:szCs w:val="20"/>
          <w:lang w:val="sk-SK"/>
        </w:rPr>
        <w:t>ným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rámc</w:t>
      </w:r>
      <w:r w:rsidR="005C72C4" w:rsidRPr="003C24F9">
        <w:rPr>
          <w:rFonts w:asciiTheme="majorHAnsi" w:hAnsiTheme="majorHAnsi"/>
          <w:sz w:val="20"/>
          <w:szCs w:val="20"/>
          <w:lang w:val="sk-SK"/>
        </w:rPr>
        <w:t>om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štátnej pomoci na preklenutie obdobia súčasných zdravotno-bezpečnostných opatrení proti šíreniu </w:t>
      </w:r>
      <w:proofErr w:type="spellStart"/>
      <w:r w:rsidRPr="003C24F9">
        <w:rPr>
          <w:rFonts w:asciiTheme="majorHAnsi" w:hAnsiTheme="majorHAnsi"/>
          <w:sz w:val="20"/>
          <w:szCs w:val="20"/>
          <w:lang w:val="sk-SK"/>
        </w:rPr>
        <w:t>koronavírusu</w:t>
      </w:r>
      <w:proofErr w:type="spellEnd"/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9A5841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362A8F7D" w14:textId="19CF7692" w:rsidR="00EE05E7" w:rsidRDefault="00EE05E7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C73E892" w14:textId="029062FD" w:rsidR="006801C7" w:rsidRDefault="00EE05E7" w:rsidP="007A41B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Finančný nástroj je určený najmä tým spoločnostiam, ktoré sa financujú prostredníctvom rizikového kapitálu. Tieto spoločnosti zvyčajne nespĺňajú (alebo spĺňajú iba v obmedzenej miere) podmienky na získanie úverového financovania z dôvodu nedostatočnej ziskovosti, ktorá je dôsledkom ich rastovej fázy a súvisiacich prevádzkových investícií</w:t>
      </w:r>
      <w:r w:rsidR="007A41BC">
        <w:rPr>
          <w:rFonts w:asciiTheme="majorHAnsi" w:hAnsiTheme="majorHAnsi"/>
          <w:sz w:val="20"/>
          <w:szCs w:val="20"/>
          <w:lang w:val="sk-SK"/>
        </w:rPr>
        <w:t xml:space="preserve"> do vývoja a implementácie produktov a služieb</w:t>
      </w:r>
      <w:r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A14D69">
        <w:rPr>
          <w:rFonts w:asciiTheme="majorHAnsi" w:hAnsiTheme="majorHAnsi"/>
          <w:sz w:val="20"/>
          <w:szCs w:val="20"/>
          <w:lang w:val="sk-SK"/>
        </w:rPr>
        <w:t xml:space="preserve">Pandémia COVID-19 okrem priameho postihu firiem výpadkom príjmov spôsobila aj neistotu na finančných trhoch, ktorá </w:t>
      </w:r>
      <w:r>
        <w:rPr>
          <w:rFonts w:asciiTheme="majorHAnsi" w:hAnsiTheme="majorHAnsi"/>
          <w:sz w:val="20"/>
          <w:szCs w:val="20"/>
          <w:lang w:val="sk-SK"/>
        </w:rPr>
        <w:t xml:space="preserve">vážne zasiahla európsky trh s rizikovým kapitálom a viedla k rušeniu alebo odloženiu investícií. Práve tieto </w:t>
      </w:r>
      <w:r w:rsidR="00003795">
        <w:rPr>
          <w:rFonts w:asciiTheme="majorHAnsi" w:hAnsiTheme="majorHAnsi"/>
          <w:sz w:val="20"/>
          <w:szCs w:val="20"/>
          <w:lang w:val="sk-SK"/>
        </w:rPr>
        <w:t>investíci</w:t>
      </w:r>
      <w:r w:rsidR="00003795">
        <w:rPr>
          <w:rFonts w:asciiTheme="majorHAnsi" w:hAnsiTheme="majorHAnsi"/>
          <w:sz w:val="20"/>
          <w:szCs w:val="20"/>
          <w:lang w:val="sk-SK"/>
        </w:rPr>
        <w:t>e</w:t>
      </w:r>
      <w:r w:rsidR="00003795">
        <w:rPr>
          <w:rFonts w:asciiTheme="majorHAnsi" w:hAnsi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/>
          <w:sz w:val="20"/>
          <w:szCs w:val="20"/>
          <w:lang w:val="sk-SK"/>
        </w:rPr>
        <w:t xml:space="preserve">sú však potrebné pre rozvoj inovatívnych spoločností, postupný prechod na </w:t>
      </w:r>
      <w:r w:rsidR="007A41BC">
        <w:rPr>
          <w:rFonts w:asciiTheme="majorHAnsi" w:hAnsiTheme="majorHAnsi"/>
          <w:sz w:val="20"/>
          <w:szCs w:val="20"/>
          <w:lang w:val="sk-SK"/>
        </w:rPr>
        <w:t xml:space="preserve">znalostnú </w:t>
      </w:r>
      <w:r>
        <w:rPr>
          <w:rFonts w:asciiTheme="majorHAnsi" w:hAnsiTheme="majorHAnsi"/>
          <w:sz w:val="20"/>
          <w:szCs w:val="20"/>
          <w:lang w:val="sk-SK"/>
        </w:rPr>
        <w:t xml:space="preserve">ekonomiku a podporu konkurencieschopnosti SR a Európy v dlhodobom horizonte. </w:t>
      </w:r>
      <w:r w:rsidR="007A41BC">
        <w:rPr>
          <w:rFonts w:asciiTheme="majorHAnsi" w:hAnsiTheme="majorHAnsi"/>
          <w:sz w:val="20"/>
          <w:szCs w:val="20"/>
          <w:lang w:val="sk-SK"/>
        </w:rPr>
        <w:t>SIH si uvedomuje význam inovatívnych spoločností pre budúcnosť slovenskej ekonomiky a</w:t>
      </w:r>
      <w:r w:rsidR="00EC7CB0">
        <w:rPr>
          <w:rFonts w:asciiTheme="majorHAnsi" w:hAnsiTheme="majorHAnsi"/>
          <w:sz w:val="20"/>
          <w:szCs w:val="20"/>
          <w:lang w:val="sk-SK"/>
        </w:rPr>
        <w:t xml:space="preserve"> spustením Finančného nástroja </w:t>
      </w:r>
      <w:r w:rsidR="006801C7">
        <w:rPr>
          <w:rFonts w:asciiTheme="majorHAnsi" w:hAnsiTheme="majorHAnsi"/>
          <w:sz w:val="20"/>
          <w:szCs w:val="20"/>
          <w:lang w:val="sk-SK"/>
        </w:rPr>
        <w:t> pokračuje v podpore slovenských inovatívnych spoločností ako jedného zo svojich strategických segmentov.</w:t>
      </w:r>
    </w:p>
    <w:p w14:paraId="215CF66F" w14:textId="77777777" w:rsidR="00082FC1" w:rsidRPr="003C24F9" w:rsidRDefault="00082FC1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666B6E0" w14:textId="3BD0E821" w:rsidR="00710088" w:rsidRDefault="0059435A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Pomoc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(</w:t>
      </w:r>
      <w:proofErr w:type="spellStart"/>
      <w:r w:rsidR="00886CF2">
        <w:rPr>
          <w:rFonts w:asciiTheme="majorHAnsi" w:hAnsiTheme="majorHAnsi"/>
          <w:sz w:val="20"/>
          <w:szCs w:val="20"/>
          <w:lang w:val="sk-SK"/>
        </w:rPr>
        <w:t>t.j</w:t>
      </w:r>
      <w:proofErr w:type="spellEnd"/>
      <w:r w:rsidR="00886CF2">
        <w:rPr>
          <w:rFonts w:asciiTheme="majorHAnsi" w:hAnsiTheme="majorHAnsi"/>
          <w:sz w:val="20"/>
          <w:szCs w:val="20"/>
          <w:lang w:val="sk-SK"/>
        </w:rPr>
        <w:t>. konvertibilný úver)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A57453" w:rsidRPr="003C24F9">
        <w:rPr>
          <w:rFonts w:asciiTheme="majorHAnsi" w:hAnsiTheme="majorHAnsi"/>
          <w:sz w:val="20"/>
          <w:szCs w:val="20"/>
          <w:lang w:val="sk-SK"/>
        </w:rPr>
        <w:t xml:space="preserve">bude </w:t>
      </w:r>
      <w:r w:rsidRPr="003C24F9">
        <w:rPr>
          <w:rFonts w:asciiTheme="majorHAnsi" w:hAnsiTheme="majorHAnsi"/>
          <w:sz w:val="20"/>
          <w:szCs w:val="20"/>
          <w:lang w:val="sk-SK"/>
        </w:rPr>
        <w:t>podnikom poskytovaná</w:t>
      </w:r>
      <w:r w:rsidR="00224B9D" w:rsidRPr="003C24F9">
        <w:rPr>
          <w:rFonts w:asciiTheme="majorHAnsi" w:hAnsiTheme="majorHAnsi"/>
          <w:sz w:val="20"/>
          <w:szCs w:val="20"/>
          <w:lang w:val="sk-SK"/>
        </w:rPr>
        <w:t xml:space="preserve"> podľa pravidiel Schémy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zo zdrojov Operačného programu Integrovaná infraštruktúra („</w:t>
      </w:r>
      <w:r w:rsidR="009A38FB" w:rsidRPr="003C24F9">
        <w:rPr>
          <w:rFonts w:asciiTheme="majorHAnsi" w:hAnsiTheme="majorHAnsi"/>
          <w:sz w:val="20"/>
          <w:szCs w:val="20"/>
          <w:lang w:val="sk-SK"/>
        </w:rPr>
        <w:t>OP 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II“) prostredníctvom fondu National </w:t>
      </w:r>
      <w:proofErr w:type="spellStart"/>
      <w:r w:rsidRPr="003C24F9">
        <w:rPr>
          <w:rFonts w:asciiTheme="majorHAnsi" w:hAnsiTheme="majorHAnsi"/>
          <w:sz w:val="20"/>
          <w:szCs w:val="20"/>
          <w:lang w:val="sk-SK"/>
        </w:rPr>
        <w:t>Development</w:t>
      </w:r>
      <w:proofErr w:type="spellEnd"/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proofErr w:type="spellStart"/>
      <w:r w:rsidRPr="003C24F9">
        <w:rPr>
          <w:rFonts w:asciiTheme="majorHAnsi" w:hAnsiTheme="majorHAnsi"/>
          <w:sz w:val="20"/>
          <w:szCs w:val="20"/>
          <w:lang w:val="sk-SK"/>
        </w:rPr>
        <w:t>Fund</w:t>
      </w:r>
      <w:proofErr w:type="spellEnd"/>
      <w:r w:rsidRPr="003C24F9">
        <w:rPr>
          <w:rFonts w:asciiTheme="majorHAnsi" w:hAnsiTheme="majorHAnsi"/>
          <w:sz w:val="20"/>
          <w:szCs w:val="20"/>
          <w:lang w:val="sk-SK"/>
        </w:rPr>
        <w:t xml:space="preserve"> II., a.s. („NDF II.“)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Pr="003C24F9">
        <w:rPr>
          <w:rFonts w:asciiTheme="majorHAnsi" w:hAnsiTheme="majorHAnsi"/>
          <w:sz w:val="20"/>
          <w:szCs w:val="20"/>
          <w:lang w:val="sk-SK"/>
        </w:rPr>
        <w:t>SIH je</w:t>
      </w:r>
      <w:r w:rsidR="0093090B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ako správca fondu NDF II</w:t>
      </w:r>
      <w:r w:rsidR="00A83842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93090B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zodpovedný za vyhlásenie tejto Výzvy, overenie oprávnenosti Záujemcov</w:t>
      </w:r>
      <w:r w:rsidR="00DD46C8" w:rsidRPr="003C24F9">
        <w:rPr>
          <w:rFonts w:asciiTheme="majorHAnsi" w:hAnsiTheme="majorHAnsi"/>
          <w:sz w:val="20"/>
          <w:szCs w:val="20"/>
          <w:lang w:val="sk-SK"/>
        </w:rPr>
        <w:t xml:space="preserve">, rozhodnutie o pridelení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konvertibilného úveru </w:t>
      </w:r>
      <w:r w:rsidR="00710088" w:rsidRPr="003C24F9">
        <w:rPr>
          <w:rFonts w:asciiTheme="majorHAnsi" w:hAnsiTheme="majorHAnsi"/>
          <w:sz w:val="20"/>
          <w:szCs w:val="20"/>
          <w:lang w:val="sk-SK"/>
        </w:rPr>
        <w:t>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uzavretie </w:t>
      </w:r>
      <w:r w:rsidR="00DD46C8" w:rsidRPr="003C24F9">
        <w:rPr>
          <w:rFonts w:asciiTheme="majorHAnsi" w:hAnsiTheme="majorHAnsi"/>
          <w:sz w:val="20"/>
          <w:szCs w:val="20"/>
          <w:lang w:val="sk-SK"/>
        </w:rPr>
        <w:t>Zmlúv</w:t>
      </w:r>
      <w:r w:rsidRPr="003C24F9">
        <w:rPr>
          <w:rFonts w:asciiTheme="majorHAnsi" w:hAnsiTheme="majorHAnsi"/>
          <w:i/>
          <w:iCs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s úspešnými Záujemcami. 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 xml:space="preserve">O využitie </w:t>
      </w:r>
      <w:r w:rsidR="00AF2C18" w:rsidRPr="003C24F9">
        <w:rPr>
          <w:rFonts w:asciiTheme="majorHAnsi" w:hAnsiTheme="majorHAnsi"/>
          <w:sz w:val="20"/>
          <w:szCs w:val="20"/>
          <w:lang w:val="sk-SK"/>
        </w:rPr>
        <w:t>F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>inančn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>ého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nástroj</w:t>
      </w:r>
      <w:r w:rsidR="00BE1023" w:rsidRPr="003C24F9">
        <w:rPr>
          <w:rFonts w:asciiTheme="majorHAnsi" w:hAnsiTheme="majorHAnsi"/>
          <w:sz w:val="20"/>
          <w:szCs w:val="20"/>
          <w:lang w:val="sk-SK"/>
        </w:rPr>
        <w:t>a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budú môcť do </w:t>
      </w:r>
      <w:r w:rsidR="00886BE9">
        <w:rPr>
          <w:rFonts w:asciiTheme="majorHAnsi" w:hAnsiTheme="majorHAnsi"/>
          <w:sz w:val="20"/>
          <w:szCs w:val="20"/>
          <w:lang w:val="sk-SK"/>
        </w:rPr>
        <w:t>30.9.2020</w:t>
      </w:r>
      <w:r w:rsidR="003835A4" w:rsidRPr="003C24F9">
        <w:rPr>
          <w:rFonts w:asciiTheme="majorHAnsi" w:hAnsiTheme="majorHAnsi"/>
          <w:sz w:val="20"/>
          <w:szCs w:val="20"/>
          <w:lang w:val="sk-SK"/>
        </w:rPr>
        <w:t xml:space="preserve"> požiadať</w:t>
      </w:r>
      <w:r w:rsidR="00224B9D" w:rsidRPr="003C24F9">
        <w:rPr>
          <w:rFonts w:asciiTheme="majorHAnsi" w:hAnsiTheme="majorHAnsi"/>
          <w:sz w:val="20"/>
          <w:szCs w:val="20"/>
          <w:lang w:val="sk-SK"/>
        </w:rPr>
        <w:t xml:space="preserve"> všetky </w:t>
      </w:r>
      <w:r w:rsidR="00243A3C" w:rsidRPr="003C24F9">
        <w:rPr>
          <w:rFonts w:asciiTheme="majorHAnsi" w:hAnsiTheme="majorHAnsi"/>
          <w:sz w:val="20"/>
          <w:szCs w:val="20"/>
          <w:lang w:val="sk-SK"/>
        </w:rPr>
        <w:t>malé a stredné podniky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v SR</w:t>
      </w:r>
      <w:r w:rsidR="00243A3C" w:rsidRPr="003C24F9">
        <w:rPr>
          <w:rFonts w:asciiTheme="majorHAnsi" w:hAnsiTheme="majorHAnsi"/>
          <w:sz w:val="20"/>
          <w:szCs w:val="20"/>
          <w:lang w:val="sk-SK"/>
        </w:rPr>
        <w:t xml:space="preserve"> (vrátane </w:t>
      </w:r>
      <w:proofErr w:type="spellStart"/>
      <w:r w:rsidR="00243A3C" w:rsidRPr="003C24F9">
        <w:rPr>
          <w:rFonts w:asciiTheme="majorHAnsi" w:hAnsiTheme="majorHAnsi"/>
          <w:sz w:val="20"/>
          <w:szCs w:val="20"/>
          <w:lang w:val="sk-SK"/>
        </w:rPr>
        <w:t>mikropodnikov</w:t>
      </w:r>
      <w:proofErr w:type="spellEnd"/>
      <w:r w:rsidR="00243A3C" w:rsidRPr="003C24F9">
        <w:rPr>
          <w:rFonts w:asciiTheme="majorHAnsi" w:hAnsiTheme="majorHAnsi"/>
          <w:sz w:val="20"/>
          <w:szCs w:val="20"/>
          <w:lang w:val="sk-SK"/>
        </w:rPr>
        <w:t>) s výnimkou vylúčených subjektov v zmysle článku 2.5.7 Schémy</w:t>
      </w:r>
      <w:r w:rsidR="0098061A" w:rsidRPr="003C24F9">
        <w:rPr>
          <w:rFonts w:asciiTheme="majorHAnsi" w:hAnsiTheme="majorHAnsi"/>
          <w:sz w:val="20"/>
          <w:szCs w:val="20"/>
          <w:lang w:val="sk-SK"/>
        </w:rPr>
        <w:t xml:space="preserve"> (z pohľadu sektorov sa v zmysle uvedeného bodu pomoc nevzťahuje na poľnohospodársku prvovýrobu a lesné hospodárstvo, rybolov a </w:t>
      </w:r>
      <w:proofErr w:type="spellStart"/>
      <w:r w:rsidR="0098061A" w:rsidRPr="003C24F9">
        <w:rPr>
          <w:rFonts w:asciiTheme="majorHAnsi" w:hAnsiTheme="majorHAnsi"/>
          <w:sz w:val="20"/>
          <w:szCs w:val="20"/>
          <w:lang w:val="sk-SK"/>
        </w:rPr>
        <w:t>akvakultúru</w:t>
      </w:r>
      <w:proofErr w:type="spellEnd"/>
      <w:r w:rsidR="0098061A" w:rsidRPr="003C24F9">
        <w:rPr>
          <w:rFonts w:asciiTheme="majorHAnsi" w:hAnsiTheme="majorHAnsi"/>
          <w:sz w:val="20"/>
          <w:szCs w:val="20"/>
          <w:lang w:val="sk-SK"/>
        </w:rPr>
        <w:t>, finančné inštitúcie a agentúry dočasného zamestnávania).</w:t>
      </w:r>
    </w:p>
    <w:p w14:paraId="2D5E05CF" w14:textId="0B118F13" w:rsidR="00EE05E7" w:rsidRDefault="00EE05E7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F700758" w14:textId="58660331" w:rsidR="00F52993" w:rsidRPr="003C24F9" w:rsidRDefault="00710088" w:rsidP="003835A4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Cieľom programu je </w:t>
      </w:r>
      <w:r w:rsidR="00A03450" w:rsidRPr="003C24F9">
        <w:rPr>
          <w:rFonts w:asciiTheme="majorHAnsi" w:hAnsiTheme="majorHAnsi"/>
          <w:sz w:val="20"/>
          <w:szCs w:val="20"/>
          <w:lang w:val="sk-SK"/>
        </w:rPr>
        <w:t>podporiť inovatívne podniky</w:t>
      </w:r>
      <w:r w:rsidR="00EF2556" w:rsidRPr="003C24F9">
        <w:rPr>
          <w:rFonts w:asciiTheme="majorHAnsi" w:hAnsiTheme="majorHAnsi"/>
          <w:sz w:val="20"/>
          <w:szCs w:val="20"/>
          <w:lang w:val="sk-SK"/>
        </w:rPr>
        <w:t xml:space="preserve"> s obmedzeným prístupom k</w:t>
      </w:r>
      <w:r w:rsidR="00A03450" w:rsidRPr="003C24F9">
        <w:rPr>
          <w:rFonts w:asciiTheme="majorHAnsi" w:hAnsiTheme="majorHAnsi"/>
          <w:sz w:val="20"/>
          <w:szCs w:val="20"/>
          <w:lang w:val="sk-SK"/>
        </w:rPr>
        <w:t> úverovému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financovaniu. </w:t>
      </w:r>
      <w:r w:rsidR="00C303AA" w:rsidRPr="003C24F9">
        <w:rPr>
          <w:rFonts w:asciiTheme="majorHAnsi" w:hAnsiTheme="majorHAnsi"/>
          <w:sz w:val="20"/>
          <w:szCs w:val="20"/>
          <w:lang w:val="sk-SK"/>
        </w:rPr>
        <w:t>Úspešnými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Záujemcami 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>budú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 podniky disponujúce inovatívnym škálovateľným produktom alebo službou, ktoré majú potenciál významného rastu. Ich produkt alebo služba je ku dňu poskytnutia </w:t>
      </w:r>
      <w:r w:rsidR="00886CF2">
        <w:rPr>
          <w:rFonts w:asciiTheme="majorHAnsi" w:hAnsiTheme="majorHAnsi"/>
          <w:sz w:val="20"/>
          <w:szCs w:val="20"/>
          <w:lang w:val="sk-SK"/>
        </w:rPr>
        <w:t>konvertibilného úveru</w:t>
      </w:r>
      <w:r w:rsidR="00886CF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52993" w:rsidRPr="003C24F9">
        <w:rPr>
          <w:rFonts w:asciiTheme="majorHAnsi" w:hAnsiTheme="majorHAnsi"/>
          <w:sz w:val="20"/>
          <w:szCs w:val="20"/>
          <w:lang w:val="sk-SK"/>
        </w:rPr>
        <w:t xml:space="preserve">funkčná a plne alebo aspoň z časti komercionalizovaná, pričom musí generovať pravidelné opakujúce sa výnosy od odberateľov dosiahnuté na trhovom princípe. </w:t>
      </w:r>
      <w:r w:rsidR="00C303AA" w:rsidRPr="003C24F9">
        <w:rPr>
          <w:rFonts w:asciiTheme="majorHAnsi" w:hAnsiTheme="majorHAnsi"/>
          <w:sz w:val="20"/>
          <w:szCs w:val="20"/>
          <w:lang w:val="sk-SK"/>
        </w:rPr>
        <w:t>Úspešný záu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 xml:space="preserve">jemca musí zároveň získať súhlas SIH v rámci </w:t>
      </w:r>
      <w:r w:rsidR="00E1758C" w:rsidRPr="003C24F9">
        <w:rPr>
          <w:rFonts w:asciiTheme="majorHAnsi" w:hAnsiTheme="majorHAnsi"/>
          <w:sz w:val="20"/>
          <w:szCs w:val="20"/>
          <w:lang w:val="sk-SK"/>
        </w:rPr>
        <w:t>Hodnot</w:t>
      </w:r>
      <w:r w:rsidR="003F2353" w:rsidRPr="003C24F9">
        <w:rPr>
          <w:rFonts w:asciiTheme="majorHAnsi" w:hAnsiTheme="majorHAnsi"/>
          <w:sz w:val="20"/>
          <w:szCs w:val="20"/>
          <w:lang w:val="sk-SK"/>
        </w:rPr>
        <w:t>iaceho procesu</w:t>
      </w:r>
      <w:r w:rsidR="00DA6E85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7A568E" w:rsidRPr="003C24F9">
        <w:rPr>
          <w:rFonts w:asciiTheme="majorHAnsi" w:hAnsiTheme="majorHAnsi"/>
          <w:sz w:val="20"/>
          <w:szCs w:val="20"/>
          <w:lang w:val="sk-SK"/>
        </w:rPr>
        <w:t xml:space="preserve"> SIH bude v rámci programu poskytovať úvery od minimálnej výšky 200 tis. EUR do maximálnej hodnoty 645 tis. EUR pri 3-ročnej splatnosti</w:t>
      </w:r>
      <w:r w:rsidR="00D00C71">
        <w:rPr>
          <w:rFonts w:asciiTheme="majorHAnsi" w:hAnsiTheme="majorHAnsi"/>
          <w:sz w:val="20"/>
          <w:szCs w:val="20"/>
          <w:lang w:val="sk-SK"/>
        </w:rPr>
        <w:t>, resp. 714 tis. EUR pri 1,5-ročnej splatnosti</w:t>
      </w:r>
      <w:r w:rsidR="007A568E" w:rsidRPr="003C24F9">
        <w:rPr>
          <w:rFonts w:asciiTheme="majorHAnsi" w:hAnsiTheme="majorHAnsi"/>
          <w:sz w:val="20"/>
          <w:szCs w:val="20"/>
          <w:lang w:val="sk-SK"/>
        </w:rPr>
        <w:t xml:space="preserve"> (za predpokladu, že Záujemca je na základe podmienok uvedených v tejto Výzve oprávnený na prijatie danej čiastky).</w:t>
      </w:r>
    </w:p>
    <w:p w14:paraId="07D6BEEC" w14:textId="77777777" w:rsidR="00134469" w:rsidRPr="003C24F9" w:rsidRDefault="00134469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4671244" w14:textId="77777777" w:rsidR="00807F21" w:rsidRPr="003C24F9" w:rsidRDefault="00D10A2C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E03A3F" w:rsidRPr="003C24F9">
        <w:rPr>
          <w:rFonts w:asciiTheme="majorHAnsi" w:hAnsiTheme="majorHAnsi"/>
          <w:sz w:val="20"/>
          <w:szCs w:val="20"/>
          <w:lang w:val="sk-SK"/>
        </w:rPr>
        <w:t>ovia</w:t>
      </w:r>
      <w:r w:rsidR="00807F21" w:rsidRPr="003C24F9">
        <w:rPr>
          <w:rFonts w:asciiTheme="majorHAnsi" w:hAnsiTheme="majorHAnsi"/>
          <w:sz w:val="20"/>
          <w:szCs w:val="20"/>
          <w:lang w:val="sk-SK"/>
        </w:rPr>
        <w:t xml:space="preserve"> vyjadr</w:t>
      </w:r>
      <w:r w:rsidR="006354AD" w:rsidRPr="003C24F9">
        <w:rPr>
          <w:rFonts w:asciiTheme="majorHAnsi" w:hAnsiTheme="majorHAnsi"/>
          <w:sz w:val="20"/>
          <w:szCs w:val="20"/>
          <w:lang w:val="sk-SK"/>
        </w:rPr>
        <w:t>ujú</w:t>
      </w:r>
      <w:r w:rsidR="00807F21" w:rsidRPr="003C24F9">
        <w:rPr>
          <w:rFonts w:asciiTheme="majorHAnsi" w:hAnsiTheme="majorHAnsi"/>
          <w:sz w:val="20"/>
          <w:szCs w:val="20"/>
          <w:lang w:val="sk-SK"/>
        </w:rPr>
        <w:t xml:space="preserve"> svoj záujem podaním Vyjadrenia záujmu</w:t>
      </w:r>
      <w:r w:rsidR="006A4DA1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11348CD4" w14:textId="77777777" w:rsidR="000152AA" w:rsidRPr="003C24F9" w:rsidRDefault="000152A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80B577E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SIH v rámci prípravy a zverejnenia tejto Výzvy ako aj následného 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postupuje v súlade so základnými zásadami, ktorými sú:</w:t>
      </w:r>
    </w:p>
    <w:p w14:paraId="56283245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otvorenosť,</w:t>
      </w:r>
    </w:p>
    <w:p w14:paraId="5F1D756E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transparentnosť,</w:t>
      </w:r>
    </w:p>
    <w:p w14:paraId="082EDA2D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primeranosť,</w:t>
      </w:r>
    </w:p>
    <w:p w14:paraId="0874A254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rovnosť zaobchádzania,</w:t>
      </w:r>
    </w:p>
    <w:p w14:paraId="7D8429E8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nediskriminácia a</w:t>
      </w:r>
    </w:p>
    <w:p w14:paraId="5248AEBA" w14:textId="77777777" w:rsidR="000152AA" w:rsidRPr="003C24F9" w:rsidRDefault="000152AA" w:rsidP="000152AA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•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absencia konfliktu záujmov.</w:t>
      </w:r>
    </w:p>
    <w:p w14:paraId="496402BE" w14:textId="77777777" w:rsidR="000152AA" w:rsidRPr="003C24F9" w:rsidRDefault="000152A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CC9FF74" w14:textId="77777777" w:rsidR="00896D7D" w:rsidRPr="003C24F9" w:rsidRDefault="00896D7D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 prípade rozporu medzi informáciami uvedenými v tejto Výzve 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alebo Schéme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majú prednosť ustanovenia </w:t>
      </w:r>
      <w:r w:rsidR="00246E35" w:rsidRPr="003C24F9">
        <w:rPr>
          <w:rFonts w:asciiTheme="majorHAnsi" w:hAnsiTheme="majorHAnsi"/>
          <w:sz w:val="20"/>
          <w:szCs w:val="20"/>
          <w:lang w:val="sk-SK"/>
        </w:rPr>
        <w:t>v</w:t>
      </w:r>
      <w:r w:rsidR="00D054E7" w:rsidRPr="003C24F9">
        <w:rPr>
          <w:rFonts w:asciiTheme="majorHAnsi" w:hAnsiTheme="majorHAnsi"/>
          <w:sz w:val="20"/>
          <w:szCs w:val="20"/>
          <w:lang w:val="sk-SK"/>
        </w:rPr>
        <w:t> Schéme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0C59C31C" w14:textId="6FFDCDDE" w:rsidR="00807F21" w:rsidRDefault="00807F21" w:rsidP="00791F1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6CF9F80" w14:textId="77777777" w:rsidR="00EC7CB0" w:rsidRPr="003C24F9" w:rsidRDefault="00EC7CB0" w:rsidP="00791F1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A9EC4F6" w14:textId="77777777" w:rsidR="00973519" w:rsidRPr="003C24F9" w:rsidRDefault="00973519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Definície a</w:t>
      </w:r>
      <w:r w:rsidR="007C40AD" w:rsidRPr="003C24F9">
        <w:rPr>
          <w:rFonts w:asciiTheme="majorHAnsi" w:hAnsiTheme="majorHAnsi"/>
          <w:b/>
          <w:sz w:val="24"/>
          <w:lang w:val="sk-SK"/>
        </w:rPr>
        <w:t> </w:t>
      </w:r>
      <w:r w:rsidRPr="003C24F9">
        <w:rPr>
          <w:rFonts w:asciiTheme="majorHAnsi" w:hAnsiTheme="majorHAnsi"/>
          <w:b/>
          <w:sz w:val="24"/>
          <w:lang w:val="sk-SK"/>
        </w:rPr>
        <w:t>interpretácia</w:t>
      </w:r>
    </w:p>
    <w:p w14:paraId="67F70F9F" w14:textId="77777777" w:rsidR="007C40AD" w:rsidRPr="003C24F9" w:rsidRDefault="00867CC7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 tejto Výzve majú termíny a výrazy s veľkými začiatočnými písmenami taký</w:t>
      </w:r>
      <w:r w:rsidR="00C42D6A" w:rsidRPr="003C24F9">
        <w:rPr>
          <w:rFonts w:asciiTheme="majorHAnsi" w:hAnsiTheme="majorHAnsi"/>
          <w:sz w:val="20"/>
          <w:szCs w:val="20"/>
          <w:lang w:val="sk-SK"/>
        </w:rPr>
        <w:t xml:space="preserve"> význam</w:t>
      </w:r>
      <w:r w:rsidRPr="003C24F9">
        <w:rPr>
          <w:rFonts w:asciiTheme="majorHAnsi" w:hAnsiTheme="majorHAnsi"/>
          <w:sz w:val="20"/>
          <w:szCs w:val="20"/>
          <w:lang w:val="sk-SK"/>
        </w:rPr>
        <w:t>, ako je uveden</w:t>
      </w:r>
      <w:r w:rsidR="00C42D6A" w:rsidRPr="003C24F9">
        <w:rPr>
          <w:rFonts w:asciiTheme="majorHAnsi" w:hAnsiTheme="majorHAnsi"/>
          <w:sz w:val="20"/>
          <w:szCs w:val="20"/>
          <w:lang w:val="sk-SK"/>
        </w:rPr>
        <w:t>é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nižšie, pokiaľ nie je uvedené inak, alebo pokiaľ kontext nevyžaduje inú interpretáciu:</w:t>
      </w:r>
    </w:p>
    <w:p w14:paraId="0C1F2314" w14:textId="77777777" w:rsidR="007C40AD" w:rsidRPr="003C24F9" w:rsidRDefault="007C40AD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2808"/>
        <w:gridCol w:w="6120"/>
      </w:tblGrid>
      <w:tr w:rsidR="00014FBA" w:rsidRPr="003C24F9" w14:paraId="6805854C" w14:textId="77777777" w:rsidTr="00D832A8">
        <w:tc>
          <w:tcPr>
            <w:tcW w:w="2808" w:type="dxa"/>
            <w:shd w:val="clear" w:color="auto" w:fill="auto"/>
          </w:tcPr>
          <w:p w14:paraId="2191615A" w14:textId="77777777" w:rsidR="00014FBA" w:rsidRPr="003C24F9" w:rsidRDefault="00014FBA" w:rsidP="004441F1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„DNK“</w:t>
            </w:r>
          </w:p>
        </w:tc>
        <w:tc>
          <w:tcPr>
            <w:tcW w:w="6120" w:type="dxa"/>
            <w:shd w:val="clear" w:color="auto" w:fill="auto"/>
          </w:tcPr>
          <w:p w14:paraId="61507E2E" w14:textId="77777777" w:rsidR="00014FBA" w:rsidRPr="003C24F9" w:rsidRDefault="00014FBA" w:rsidP="00435FA8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Delegované nariadenie Komisie (EÚ) č. 480/2014 z 3. marca 2014, ktorým sa dopĺňa nariadenie Európskeho parlamentu a Rady (EÚ) č. 1303/2013, ktorým sa stanovujú spoločné ustanovenia o Európskom fonde regionálneho rozvoja, Európskom sociálnom fonde, Kohéznom fonde, Európskom poľnohospodárskom fonde pre rozvoj vidieka a Európskom národnom a rybárskom fonde a ktorým sa stanovujú všeobecné ustanovenia o Európskom fonde regionálneho rozvoja, Európskom sociálnom fonde, Kohéznom fonde a Európskom námornom a rybárskom fonde;</w:t>
            </w:r>
          </w:p>
        </w:tc>
      </w:tr>
      <w:tr w:rsidR="006D1751" w:rsidRPr="003C24F9" w14:paraId="2B091C62" w14:textId="77777777" w:rsidTr="00D832A8">
        <w:tc>
          <w:tcPr>
            <w:tcW w:w="2808" w:type="dxa"/>
            <w:shd w:val="clear" w:color="auto" w:fill="auto"/>
          </w:tcPr>
          <w:p w14:paraId="36D7A59A" w14:textId="77777777" w:rsidR="006D1751" w:rsidRPr="003C24F9" w:rsidRDefault="006D1751" w:rsidP="004441F1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„Dočasný rámec“</w:t>
            </w:r>
          </w:p>
        </w:tc>
        <w:tc>
          <w:tcPr>
            <w:tcW w:w="6120" w:type="dxa"/>
            <w:shd w:val="clear" w:color="auto" w:fill="auto"/>
          </w:tcPr>
          <w:p w14:paraId="09F8DB7E" w14:textId="77777777" w:rsidR="006D1751" w:rsidRPr="003C24F9" w:rsidRDefault="000D73EC" w:rsidP="00435FA8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oznámenie komisie - Dočasný rámec pre opatrenia štátnej pomoci na podporu hospodárstva v súčasnej situácii spôsobenej nákazou COVID-19</w:t>
            </w:r>
            <w:r w:rsidR="00676C56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, uverejnené v Úradnom vestníku Európskej komisie 2020/C 91 I/01, v aktuálnom znení;</w:t>
            </w:r>
          </w:p>
        </w:tc>
      </w:tr>
      <w:tr w:rsidR="00EA57B2" w:rsidRPr="003C24F9" w14:paraId="58200B8F" w14:textId="77777777" w:rsidTr="000C1B21">
        <w:tc>
          <w:tcPr>
            <w:tcW w:w="2808" w:type="dxa"/>
            <w:shd w:val="clear" w:color="auto" w:fill="auto"/>
          </w:tcPr>
          <w:p w14:paraId="1792AA81" w14:textId="77777777" w:rsidR="00EA57B2" w:rsidRPr="003C24F9" w:rsidRDefault="009E0530" w:rsidP="00EA57B2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bookmarkStart w:id="1" w:name="_DV_C108"/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„EŠIF“</w:t>
            </w:r>
            <w:bookmarkEnd w:id="1"/>
          </w:p>
        </w:tc>
        <w:tc>
          <w:tcPr>
            <w:tcW w:w="6120" w:type="dxa"/>
            <w:shd w:val="clear" w:color="auto" w:fill="auto"/>
          </w:tcPr>
          <w:p w14:paraId="70A3D49A" w14:textId="77777777" w:rsidR="00EA57B2" w:rsidRPr="003C24F9" w:rsidRDefault="009E0530" w:rsidP="00EA57B2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Európske štrukturálne a investičné fondy (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„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Kohézny fond, Európsk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y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fond regionálneho rozvoja</w:t>
            </w:r>
            <w:r w:rsidR="009A374B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, 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Európsky sociálny fond, Európsky poľnohospodársky fond pre rozvoj vidieka, Európsky námorný a rybársky fond)</w:t>
            </w:r>
            <w:r w:rsidR="0074579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45794" w:rsidRPr="003C24F9" w14:paraId="152F2C2C" w14:textId="77777777" w:rsidTr="000C1B21">
        <w:tc>
          <w:tcPr>
            <w:tcW w:w="2808" w:type="dxa"/>
            <w:shd w:val="clear" w:color="auto" w:fill="auto"/>
          </w:tcPr>
          <w:p w14:paraId="60685147" w14:textId="77777777" w:rsidR="00745794" w:rsidRPr="003C24F9" w:rsidRDefault="00745794" w:rsidP="009E0530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„Finančný nástroj“</w:t>
            </w:r>
          </w:p>
        </w:tc>
        <w:tc>
          <w:tcPr>
            <w:tcW w:w="6120" w:type="dxa"/>
            <w:shd w:val="clear" w:color="auto" w:fill="auto"/>
          </w:tcPr>
          <w:p w14:paraId="1D02F2F4" w14:textId="77777777" w:rsidR="00745794" w:rsidRPr="003C24F9" w:rsidRDefault="007A25B4" w:rsidP="009E0530">
            <w:pPr>
              <w:spacing w:before="20"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</w:t>
            </w:r>
            <w:r w:rsidR="00224B9D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Konvertibilný úver</w:t>
            </w:r>
            <w:r w:rsidR="0074579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311A6CEA" w14:textId="77777777" w:rsidTr="000C1B21">
        <w:tc>
          <w:tcPr>
            <w:tcW w:w="2808" w:type="dxa"/>
            <w:shd w:val="clear" w:color="auto" w:fill="auto"/>
          </w:tcPr>
          <w:p w14:paraId="4DBE49EF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„Hodnotiaci proces“</w:t>
            </w:r>
          </w:p>
        </w:tc>
        <w:tc>
          <w:tcPr>
            <w:tcW w:w="6120" w:type="dxa"/>
            <w:shd w:val="clear" w:color="auto" w:fill="auto"/>
          </w:tcPr>
          <w:p w14:paraId="18272746" w14:textId="3B37B1BA" w:rsidR="007A25B4" w:rsidRPr="003C24F9" w:rsidRDefault="0025124B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</w:t>
            </w:r>
            <w:r w:rsidR="007A25B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proces posúdenia Záujemcu zo strany SIH a následné interné vyhodnotenie a rozhodnutie SIH o</w:t>
            </w:r>
            <w:r w:rsidR="001B0E61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 poskytnutí konvertibilného úveru</w:t>
            </w:r>
            <w:r w:rsidR="007A25B4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70616528" w14:textId="77777777" w:rsidTr="000C1B21">
        <w:tc>
          <w:tcPr>
            <w:tcW w:w="2808" w:type="dxa"/>
            <w:shd w:val="clear" w:color="auto" w:fill="auto"/>
          </w:tcPr>
          <w:p w14:paraId="5DD12798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„MSP“</w:t>
            </w:r>
          </w:p>
        </w:tc>
        <w:tc>
          <w:tcPr>
            <w:tcW w:w="6120" w:type="dxa"/>
            <w:shd w:val="clear" w:color="auto" w:fill="auto"/>
          </w:tcPr>
          <w:p w14:paraId="3BE8E336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znamená </w:t>
            </w:r>
            <w:proofErr w:type="spellStart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mikro</w:t>
            </w:r>
            <w:proofErr w:type="spellEnd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, malý alebo stredný podnik podľa Prílohy I nariadenia Komisie (EÚ) č. 651/2014 zo 17. júna 2014  o vyhlásení určitých kategórií pomoci za zlučiteľné s vnútorným trhom podľa článkov 107 a 108 zmluvy  v platnom znení. Kategória zahŕňa aj SZČO;</w:t>
            </w:r>
          </w:p>
        </w:tc>
      </w:tr>
      <w:tr w:rsidR="007A25B4" w:rsidRPr="003C24F9" w14:paraId="2506A4B5" w14:textId="77777777" w:rsidTr="000C1B21">
        <w:tc>
          <w:tcPr>
            <w:tcW w:w="2808" w:type="dxa"/>
            <w:shd w:val="clear" w:color="auto" w:fill="auto"/>
          </w:tcPr>
          <w:p w14:paraId="6372A7DD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„NDF II.“</w:t>
            </w:r>
          </w:p>
        </w:tc>
        <w:tc>
          <w:tcPr>
            <w:tcW w:w="6120" w:type="dxa"/>
            <w:shd w:val="clear" w:color="auto" w:fill="auto"/>
          </w:tcPr>
          <w:p w14:paraId="409EBEB3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rozumie sa spoločnosť National </w:t>
            </w:r>
            <w:proofErr w:type="spellStart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Development</w:t>
            </w:r>
            <w:proofErr w:type="spellEnd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Fund</w:t>
            </w:r>
            <w:proofErr w:type="spellEnd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 II., a.s.,</w:t>
            </w:r>
            <w:r w:rsidRPr="003C24F9">
              <w:rPr>
                <w:rFonts w:asciiTheme="majorHAnsi" w:hAnsiTheme="majorHAnsi"/>
                <w:lang w:val="sk-SK"/>
              </w:rPr>
              <w:t xml:space="preserve"> </w:t>
            </w: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so sídlom </w:t>
            </w:r>
            <w:proofErr w:type="spellStart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Grösslingová</w:t>
            </w:r>
            <w:proofErr w:type="spellEnd"/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 xml:space="preserve"> 44, 811 09 Bratislava, Slovenská republika, IČO: 47 759 224,  zapísaná v Obchodnom registri Okresného súdu Bratislava I, oddiel: Sa, vložka č.: 5948/B, ktorá je pod správou a prevádzkou SIH v súlade s príslušnými zmluvami;</w:t>
            </w:r>
          </w:p>
        </w:tc>
      </w:tr>
      <w:tr w:rsidR="007A25B4" w:rsidRPr="003C24F9" w14:paraId="30AEF39D" w14:textId="77777777" w:rsidTr="000C1B21">
        <w:tc>
          <w:tcPr>
            <w:tcW w:w="2808" w:type="dxa"/>
            <w:shd w:val="clear" w:color="auto" w:fill="auto"/>
          </w:tcPr>
          <w:p w14:paraId="0AE978C4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„OP II“</w:t>
            </w:r>
          </w:p>
        </w:tc>
        <w:tc>
          <w:tcPr>
            <w:tcW w:w="6120" w:type="dxa"/>
            <w:shd w:val="clear" w:color="auto" w:fill="auto"/>
          </w:tcPr>
          <w:p w14:paraId="39CAB5D8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Operačný program Integrovaná infraštruktúra, ktorého riadiacim orgánom je Ministerstvo dopravy a výstavby Slovenskej republiky a ktorého sprostredkovateľským orgánom, pre finančné prostriedky vyhradené na tento Finančný nástroj, je Ministerstvo hospodárstva Slovenskej republiky.</w:t>
            </w:r>
          </w:p>
        </w:tc>
      </w:tr>
      <w:tr w:rsidR="007A25B4" w:rsidRPr="003C24F9" w14:paraId="31D302BC" w14:textId="77777777" w:rsidTr="000C1B21">
        <w:tc>
          <w:tcPr>
            <w:tcW w:w="2808" w:type="dxa"/>
            <w:shd w:val="clear" w:color="auto" w:fill="auto"/>
          </w:tcPr>
          <w:p w14:paraId="42C4A733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„Pracovný deň“</w:t>
            </w:r>
          </w:p>
        </w:tc>
        <w:tc>
          <w:tcPr>
            <w:tcW w:w="6120" w:type="dxa"/>
            <w:shd w:val="clear" w:color="auto" w:fill="auto"/>
          </w:tcPr>
          <w:p w14:paraId="0D4F2F37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deň, kedy sú vo všeobecnosti banky na Slovensku bežne otvorené pre podnikanie vrátane devízových obchodov. Za Pracovný deň sa nepovažuje deň, ktorý je štátnym sviatkom alebo dňom pracovného pokoja v Slovenskej republike;</w:t>
            </w:r>
          </w:p>
        </w:tc>
      </w:tr>
      <w:tr w:rsidR="007A25B4" w:rsidRPr="003C24F9" w14:paraId="075B853A" w14:textId="77777777" w:rsidTr="000C1B21">
        <w:tc>
          <w:tcPr>
            <w:tcW w:w="2808" w:type="dxa"/>
            <w:shd w:val="clear" w:color="auto" w:fill="auto"/>
          </w:tcPr>
          <w:p w14:paraId="071CB127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„Predpisy EÚ“</w:t>
            </w:r>
          </w:p>
        </w:tc>
        <w:tc>
          <w:tcPr>
            <w:tcW w:w="6120" w:type="dxa"/>
            <w:shd w:val="clear" w:color="auto" w:fill="auto"/>
          </w:tcPr>
          <w:p w14:paraId="72C4EA40" w14:textId="308319B1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sú Všeobecné nariadenie (EÚ) č. 1303/2013 zo 17. decembra 2013, delegované nariadenia</w:t>
            </w:r>
            <w:r w:rsidR="00BA3FA3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vrátane DNK</w:t>
            </w:r>
            <w:r w:rsidR="00BA3FA3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,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, vykonávacie nariadenia, právne predpisy EÚ vzťahujúce sa na oblasť štátnej pomoci a iné normy práva Európskej únie vzťahujúce sa na využitie prostriedkov z Európskeho fondu regionálneho rozvoja, Európskeho sociálneho fondu, Kohézneho fondu, </w:t>
            </w:r>
            <w:bookmarkStart w:id="2" w:name="_Hlk36028989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lastRenderedPageBreak/>
              <w:t>Európskeho poľnohospodárskeho fondu pre rozvoj vidieka a Európskeho námorného a rybárskeho fondu</w:t>
            </w:r>
            <w:bookmarkEnd w:id="2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EŠIF v platnom znení;</w:t>
            </w:r>
          </w:p>
        </w:tc>
      </w:tr>
      <w:tr w:rsidR="007A25B4" w:rsidRPr="003C24F9" w14:paraId="693FAE02" w14:textId="77777777" w:rsidTr="000C1B21">
        <w:tc>
          <w:tcPr>
            <w:tcW w:w="2808" w:type="dxa"/>
            <w:shd w:val="clear" w:color="auto" w:fill="auto"/>
          </w:tcPr>
          <w:p w14:paraId="5D12ABCE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lastRenderedPageBreak/>
              <w:t>„SIH“</w:t>
            </w:r>
          </w:p>
        </w:tc>
        <w:tc>
          <w:tcPr>
            <w:tcW w:w="6120" w:type="dxa"/>
            <w:shd w:val="clear" w:color="auto" w:fill="auto"/>
          </w:tcPr>
          <w:p w14:paraId="3055DE58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spoločnosť Slovak </w:t>
            </w:r>
            <w:proofErr w:type="spellStart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Investment</w:t>
            </w:r>
            <w:proofErr w:type="spellEnd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Holding, a. s., so sídlom </w:t>
            </w:r>
            <w:proofErr w:type="spellStart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Grösslingová</w:t>
            </w:r>
            <w:proofErr w:type="spellEnd"/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44, 811 09 Bratislava, Slovenská republika, IČO: 47 759 097, zapísaná v Obchodnom registri Okresného súdu Bratislava I, oddiel: Sa, vložka č.: 5949/B, ktorá je </w:t>
            </w:r>
            <w:r w:rsidRPr="003C24F9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správca a prevádzkovateľ NDF I. a NDF II. v súlade s príslušnými zmluvami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723ADDC6" w14:textId="77777777" w:rsidTr="000C1B21">
        <w:tc>
          <w:tcPr>
            <w:tcW w:w="2808" w:type="dxa"/>
            <w:shd w:val="clear" w:color="auto" w:fill="auto"/>
          </w:tcPr>
          <w:p w14:paraId="4B036CF9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„Schéma“</w:t>
            </w:r>
          </w:p>
        </w:tc>
        <w:tc>
          <w:tcPr>
            <w:tcW w:w="6120" w:type="dxa"/>
            <w:shd w:val="clear" w:color="auto" w:fill="auto"/>
          </w:tcPr>
          <w:p w14:paraId="5D787C06" w14:textId="62AA06DB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Schém</w:t>
            </w:r>
            <w:r w:rsidR="00F66E9D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a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 štátnej pomoci na podporu inovatívnych podnikov s obmedzeným prístupom k úverovému financovaniu zdrojmi EŠIF v súvislosti s nákazou COVID-19 – SIH, ktorá je zverejnená v rámci tejto Výzvy na </w:t>
            </w: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webovom sídle SIH (</w:t>
            </w:r>
            <w:hyperlink r:id="rId14" w:history="1">
              <w:r w:rsidRPr="003C24F9">
                <w:rPr>
                  <w:rStyle w:val="Hyperlink"/>
                  <w:rFonts w:asciiTheme="majorHAnsi" w:hAnsiTheme="majorHAnsi"/>
                  <w:sz w:val="20"/>
                  <w:szCs w:val="20"/>
                  <w:lang w:val="sk-SK"/>
                </w:rPr>
                <w:t>www.sih.sk</w:t>
              </w:r>
            </w:hyperlink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) 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alebo </w:t>
            </w:r>
            <w:r w:rsidR="00EF4A33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v Obchodnom Vestníku</w:t>
            </w:r>
          </w:p>
        </w:tc>
      </w:tr>
      <w:tr w:rsidR="007A25B4" w:rsidRPr="003C24F9" w14:paraId="727F3F9F" w14:textId="77777777" w:rsidTr="000C1B21">
        <w:tc>
          <w:tcPr>
            <w:tcW w:w="2808" w:type="dxa"/>
            <w:shd w:val="clear" w:color="auto" w:fill="auto"/>
          </w:tcPr>
          <w:p w14:paraId="575AEED6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„Záujemca“</w:t>
            </w:r>
          </w:p>
        </w:tc>
        <w:tc>
          <w:tcPr>
            <w:tcW w:w="6120" w:type="dxa"/>
            <w:shd w:val="clear" w:color="auto" w:fill="auto"/>
          </w:tcPr>
          <w:p w14:paraId="568975F6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rozumie sa subjekt reagujúci na Výzvu na vyjadrenie záujmu;</w:t>
            </w:r>
          </w:p>
        </w:tc>
      </w:tr>
      <w:tr w:rsidR="007A25B4" w:rsidRPr="003C24F9" w14:paraId="0CC7A095" w14:textId="77777777" w:rsidTr="000C1B21">
        <w:tc>
          <w:tcPr>
            <w:tcW w:w="2808" w:type="dxa"/>
            <w:shd w:val="clear" w:color="auto" w:fill="auto"/>
          </w:tcPr>
          <w:p w14:paraId="16B8AE20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„Zmluva“</w:t>
            </w:r>
          </w:p>
        </w:tc>
        <w:tc>
          <w:tcPr>
            <w:tcW w:w="6120" w:type="dxa"/>
            <w:shd w:val="clear" w:color="auto" w:fill="auto"/>
          </w:tcPr>
          <w:p w14:paraId="45FCC2BD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Zmluva o vymeniteľnom (konvertibilnom) úvere medzi NDF II. a Záujemcom;</w:t>
            </w:r>
          </w:p>
        </w:tc>
      </w:tr>
      <w:tr w:rsidR="007A25B4" w:rsidRPr="003C24F9" w14:paraId="471ABC15" w14:textId="77777777" w:rsidTr="000C1B21">
        <w:tc>
          <w:tcPr>
            <w:tcW w:w="2808" w:type="dxa"/>
            <w:shd w:val="clear" w:color="auto" w:fill="auto"/>
          </w:tcPr>
          <w:p w14:paraId="61683863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„Vyjadrenie záujmu“</w:t>
            </w:r>
          </w:p>
        </w:tc>
        <w:tc>
          <w:tcPr>
            <w:tcW w:w="6120" w:type="dxa"/>
            <w:shd w:val="clear" w:color="auto" w:fill="auto"/>
          </w:tcPr>
          <w:p w14:paraId="76481A02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 xml:space="preserve">rozumie sa návrh podaný Záujemcom ako reakcia na túto Výzvu najneskôr do konečného termínu uvedeného v čl. </w:t>
            </w:r>
            <w:r w:rsidR="00BA551F"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5</w:t>
            </w: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;</w:t>
            </w:r>
          </w:p>
        </w:tc>
      </w:tr>
      <w:tr w:rsidR="007A25B4" w:rsidRPr="003C24F9" w14:paraId="15F96870" w14:textId="77777777" w:rsidTr="000C1B21">
        <w:tc>
          <w:tcPr>
            <w:tcW w:w="2808" w:type="dxa"/>
            <w:shd w:val="clear" w:color="auto" w:fill="auto"/>
          </w:tcPr>
          <w:p w14:paraId="67AE471F" w14:textId="77777777" w:rsidR="007A25B4" w:rsidRPr="003C24F9" w:rsidRDefault="007A25B4" w:rsidP="007A25B4">
            <w:pPr>
              <w:spacing w:before="20" w:after="120"/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b/>
                <w:sz w:val="20"/>
                <w:szCs w:val="20"/>
                <w:lang w:val="sk-SK"/>
              </w:rPr>
              <w:t>„Výzva na vyjadrenie záujmu“ alebo „Výzva“</w:t>
            </w:r>
          </w:p>
        </w:tc>
        <w:tc>
          <w:tcPr>
            <w:tcW w:w="6120" w:type="dxa"/>
            <w:shd w:val="clear" w:color="auto" w:fill="auto"/>
          </w:tcPr>
          <w:p w14:paraId="23EB53C5" w14:textId="77777777" w:rsidR="007A25B4" w:rsidRPr="003C24F9" w:rsidRDefault="007A25B4" w:rsidP="007A25B4">
            <w:pPr>
              <w:spacing w:before="20" w:after="12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 w:cs="Times New Roman"/>
                <w:color w:val="000000"/>
                <w:sz w:val="20"/>
                <w:szCs w:val="20"/>
                <w:lang w:val="sk-SK"/>
              </w:rPr>
              <w:t>znamená táto Výzva pre malé a stredné podniky na vyjadrenie záujmu o zapojenie sa do Schémy štátnej pomoci na podporu inovatívnych podnikov s obmedzeným prístupom k úverovému financovaniu zdrojmi EŠIF v súvislosti s nákazou COVID-19 – SIH.</w:t>
            </w:r>
          </w:p>
        </w:tc>
      </w:tr>
    </w:tbl>
    <w:p w14:paraId="1C284930" w14:textId="77777777" w:rsidR="001F2DC9" w:rsidRPr="003C24F9" w:rsidRDefault="001F2DC9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08C6844" w14:textId="77777777" w:rsidR="00973519" w:rsidRPr="003C24F9" w:rsidRDefault="00A73513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 xml:space="preserve">Cieľ </w:t>
      </w:r>
      <w:r w:rsidR="00464FB2" w:rsidRPr="003C24F9">
        <w:rPr>
          <w:rFonts w:asciiTheme="majorHAnsi" w:hAnsiTheme="majorHAnsi"/>
          <w:b/>
          <w:sz w:val="24"/>
          <w:lang w:val="sk-SK"/>
        </w:rPr>
        <w:t>Finančného nástroja</w:t>
      </w:r>
    </w:p>
    <w:p w14:paraId="3588CA87" w14:textId="1A32659B" w:rsidR="00A73513" w:rsidRDefault="00A73513" w:rsidP="00A73513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Cieľom Finančného nástroja je napomôcť inovatívnym MSP</w:t>
      </w:r>
      <w:r w:rsidR="0025124B" w:rsidRPr="003C24F9">
        <w:rPr>
          <w:rFonts w:asciiTheme="majorHAnsi" w:hAnsiTheme="majorHAnsi"/>
          <w:sz w:val="20"/>
          <w:szCs w:val="20"/>
          <w:lang w:val="sk-SK"/>
        </w:rPr>
        <w:t xml:space="preserve"> s obmedzeným prístupom k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úverovému financovaniu preklenúť nepriaznivé obdobie spôsobené pandémiou COVID-19 za účelom udržania zamestnanosti, urýchlene podporiť finančnú kondíciu, likviditu a peňažný tok podnikov, zabrániť kolapsu podnikateľského prostredia a zachovať strategické a kritické procesy nutné pre zvládnutie šírenia vírusu COVID-19 so zachovaním stability a minimalizácie paniky.</w:t>
      </w:r>
    </w:p>
    <w:p w14:paraId="36065C6B" w14:textId="2D1453BB" w:rsidR="00422A51" w:rsidRDefault="00422A51" w:rsidP="00A73513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6F938B6" w14:textId="77777777" w:rsidR="002A407D" w:rsidRPr="003C24F9" w:rsidRDefault="00B9235B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bookmarkStart w:id="3" w:name="bookmark13"/>
      <w:r w:rsidRPr="003C24F9">
        <w:rPr>
          <w:rFonts w:asciiTheme="majorHAnsi" w:hAnsiTheme="majorHAnsi"/>
          <w:b/>
          <w:sz w:val="24"/>
          <w:lang w:val="sk-SK"/>
        </w:rPr>
        <w:t xml:space="preserve">Popis </w:t>
      </w:r>
      <w:bookmarkEnd w:id="3"/>
      <w:r w:rsidR="009366F1" w:rsidRPr="003C24F9">
        <w:rPr>
          <w:rFonts w:asciiTheme="majorHAnsi" w:hAnsiTheme="majorHAnsi"/>
          <w:b/>
          <w:sz w:val="24"/>
          <w:lang w:val="sk-SK"/>
        </w:rPr>
        <w:t>procesu poskytnutia Finančného nástroja a alokácia prostriedkov</w:t>
      </w:r>
    </w:p>
    <w:p w14:paraId="72016A9E" w14:textId="3459EB25" w:rsidR="00F46D18" w:rsidRPr="003C24F9" w:rsidRDefault="00D8505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Záujemcovia prejavujú svoj záujem v zmysle bodu 5 zaslaním </w:t>
      </w:r>
      <w:r w:rsidR="00F46D18" w:rsidRPr="003C24F9">
        <w:rPr>
          <w:rFonts w:asciiTheme="majorHAnsi" w:hAnsiTheme="majorHAnsi"/>
          <w:sz w:val="20"/>
          <w:szCs w:val="20"/>
          <w:lang w:val="sk-SK"/>
        </w:rPr>
        <w:t xml:space="preserve">vyplnených 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>podkladov</w:t>
      </w:r>
      <w:r w:rsidR="00D054E7" w:rsidRPr="00480B7E">
        <w:rPr>
          <w:rFonts w:asciiTheme="majorHAnsi" w:hAnsiTheme="majorHAnsi"/>
          <w:sz w:val="20"/>
          <w:szCs w:val="20"/>
          <w:lang w:val="sk-SK"/>
        </w:rPr>
        <w:t xml:space="preserve"> z prílohy </w:t>
      </w:r>
      <w:r w:rsidR="009A3AC1" w:rsidRPr="00480B7E">
        <w:rPr>
          <w:rFonts w:asciiTheme="majorHAnsi" w:hAnsiTheme="majorHAnsi"/>
          <w:sz w:val="20"/>
          <w:szCs w:val="20"/>
          <w:lang w:val="sk-SK"/>
        </w:rPr>
        <w:t>č.</w:t>
      </w:r>
      <w:r w:rsidR="00BA551F" w:rsidRPr="00480B7E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054E7" w:rsidRPr="00480B7E">
        <w:rPr>
          <w:rFonts w:asciiTheme="majorHAnsi" w:hAnsiTheme="majorHAnsi"/>
          <w:sz w:val="20"/>
          <w:szCs w:val="20"/>
          <w:lang w:val="sk-SK"/>
        </w:rPr>
        <w:t>1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 xml:space="preserve"> a prílohy č.</w:t>
      </w:r>
      <w:r w:rsidR="00BA551F" w:rsidRPr="00480B7E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46D18" w:rsidRPr="00480B7E">
        <w:rPr>
          <w:rFonts w:asciiTheme="majorHAnsi" w:hAnsiTheme="majorHAnsi"/>
          <w:sz w:val="20"/>
          <w:szCs w:val="20"/>
          <w:lang w:val="sk-SK"/>
        </w:rPr>
        <w:t>2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na adresu </w:t>
      </w:r>
      <w:hyperlink r:id="rId15" w:history="1">
        <w:r w:rsidR="009F798B">
          <w:rPr>
            <w:rStyle w:val="Hyperlink"/>
            <w:rFonts w:asciiTheme="majorHAnsi" w:hAnsiTheme="majorHAnsi"/>
            <w:sz w:val="20"/>
            <w:szCs w:val="20"/>
            <w:lang w:val="sk-SK"/>
          </w:rPr>
          <w:t>SIHAK</w:t>
        </w:r>
        <w:r w:rsidR="009F798B"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@sih.sk</w:t>
        </w:r>
      </w:hyperlink>
      <w:r w:rsidR="00E14E36" w:rsidRPr="003C24F9">
        <w:rPr>
          <w:rStyle w:val="Hyperlink"/>
          <w:rFonts w:asciiTheme="majorHAnsi" w:hAnsiTheme="majorHAnsi"/>
          <w:sz w:val="20"/>
          <w:szCs w:val="20"/>
          <w:lang w:val="sk-SK"/>
        </w:rPr>
        <w:t xml:space="preserve"> </w:t>
      </w:r>
      <w:r w:rsidR="007C00CE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20970" w:rsidRPr="003C24F9">
        <w:rPr>
          <w:rFonts w:asciiTheme="majorHAnsi" w:hAnsiTheme="majorHAnsi"/>
          <w:sz w:val="20"/>
          <w:szCs w:val="20"/>
          <w:lang w:val="sk-SK"/>
        </w:rPr>
        <w:t xml:space="preserve"> Záujemca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v Prílohe č.</w:t>
      </w:r>
      <w:r w:rsidR="00BA551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1 uvedie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>indikatívnu výšku úveru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 xml:space="preserve"> a lehotu splatnosti</w:t>
      </w:r>
      <w:r w:rsidR="001867B0" w:rsidRPr="003C24F9">
        <w:rPr>
          <w:rFonts w:asciiTheme="majorHAnsi" w:hAnsiTheme="majorHAnsi"/>
          <w:sz w:val="20"/>
          <w:szCs w:val="20"/>
          <w:lang w:val="sk-SK"/>
        </w:rPr>
        <w:t xml:space="preserve">, o ktorú má záujem, 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čím zároveň preukáže, že spĺňa </w:t>
      </w:r>
      <w:r w:rsidR="00220970" w:rsidRPr="003C24F9">
        <w:rPr>
          <w:rFonts w:asciiTheme="majorHAnsi" w:hAnsiTheme="majorHAnsi"/>
          <w:sz w:val="20"/>
          <w:szCs w:val="20"/>
          <w:lang w:val="sk-SK"/>
        </w:rPr>
        <w:t>podmienku minimálnej výšky úveru 200 tis. EUR</w:t>
      </w:r>
      <w:r w:rsidR="00D46F4F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1B0E61">
        <w:rPr>
          <w:rFonts w:asciiTheme="majorHAnsi" w:hAnsiTheme="majorHAnsi"/>
          <w:sz w:val="20"/>
          <w:szCs w:val="20"/>
          <w:lang w:val="sk-SK"/>
        </w:rPr>
        <w:t>Maximálna výška úveru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 xml:space="preserve"> v zmysle Schémy stanoví</w:t>
      </w:r>
      <w:r w:rsidR="000404FF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nasledovným spôsobom</w:t>
      </w:r>
      <w:r w:rsidR="000404FF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944CA1">
        <w:rPr>
          <w:rFonts w:asciiTheme="majorHAnsi" w:hAnsiTheme="majorHAnsi"/>
          <w:sz w:val="20"/>
          <w:szCs w:val="20"/>
          <w:lang w:val="sk-SK"/>
        </w:rPr>
        <w:t>(</w:t>
      </w:r>
      <w:r w:rsidR="000404FF">
        <w:rPr>
          <w:rFonts w:asciiTheme="majorHAnsi" w:hAnsiTheme="majorHAnsi"/>
          <w:sz w:val="20"/>
          <w:szCs w:val="20"/>
          <w:lang w:val="sk-SK"/>
        </w:rPr>
        <w:t>podľa toho, ktorá hodnota je vyššia</w:t>
      </w:r>
      <w:r w:rsidR="00944CA1">
        <w:rPr>
          <w:rFonts w:asciiTheme="majorHAnsi" w:hAnsiTheme="majorHAnsi"/>
          <w:sz w:val="20"/>
          <w:szCs w:val="20"/>
          <w:lang w:val="sk-SK"/>
        </w:rPr>
        <w:t>)</w:t>
      </w:r>
      <w:r w:rsidR="000105C9" w:rsidRPr="003C24F9">
        <w:rPr>
          <w:rFonts w:asciiTheme="majorHAnsi" w:hAnsiTheme="majorHAnsi"/>
          <w:sz w:val="20"/>
          <w:szCs w:val="20"/>
          <w:lang w:val="sk-SK"/>
        </w:rPr>
        <w:t>:</w:t>
      </w:r>
    </w:p>
    <w:p w14:paraId="3B641AB2" w14:textId="77777777" w:rsidR="00F46D18" w:rsidRPr="003C24F9" w:rsidRDefault="00F46D18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6A2BBD8" w14:textId="7A75D703" w:rsidR="000404FF" w:rsidRDefault="001867B0" w:rsidP="00404283">
      <w:pPr>
        <w:pStyle w:val="ListParagraph"/>
        <w:numPr>
          <w:ilvl w:val="0"/>
          <w:numId w:val="29"/>
        </w:numPr>
        <w:spacing w:after="60"/>
        <w:ind w:left="1003" w:hanging="357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3C24F9">
        <w:rPr>
          <w:rFonts w:ascii="Calibri Light" w:hAnsi="Calibri Light" w:cs="Calibri Light"/>
          <w:sz w:val="20"/>
          <w:szCs w:val="20"/>
          <w:lang w:val="sk-SK"/>
        </w:rPr>
        <w:t xml:space="preserve">1x tržby Záujemcu za rok 2019 alebo </w:t>
      </w:r>
      <w:proofErr w:type="spellStart"/>
      <w:r w:rsidRPr="003C24F9">
        <w:rPr>
          <w:rFonts w:ascii="Calibri Light" w:hAnsi="Calibri Light" w:cs="Calibri Light"/>
          <w:sz w:val="20"/>
          <w:szCs w:val="20"/>
          <w:lang w:val="sk-SK"/>
        </w:rPr>
        <w:t>anualizované</w:t>
      </w:r>
      <w:proofErr w:type="spellEnd"/>
      <w:r w:rsidRPr="003C24F9">
        <w:rPr>
          <w:rFonts w:ascii="Calibri Light" w:hAnsi="Calibri Light" w:cs="Calibri Light"/>
          <w:sz w:val="20"/>
          <w:szCs w:val="20"/>
          <w:lang w:val="sk-SK"/>
        </w:rPr>
        <w:t xml:space="preserve"> tržby za rok 2020. V prípade </w:t>
      </w:r>
      <w:proofErr w:type="spellStart"/>
      <w:r w:rsidR="00BA3FA3">
        <w:rPr>
          <w:rFonts w:ascii="Calibri Light" w:hAnsi="Calibri Light" w:cs="Calibri Light"/>
          <w:sz w:val="20"/>
          <w:szCs w:val="20"/>
          <w:lang w:val="sk-SK"/>
        </w:rPr>
        <w:t>anualizácie</w:t>
      </w:r>
      <w:proofErr w:type="spellEnd"/>
      <w:r w:rsidR="00BA3FA3" w:rsidRPr="003C24F9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Pr="003C24F9">
        <w:rPr>
          <w:rFonts w:ascii="Calibri Light" w:hAnsi="Calibri Light" w:cs="Calibri Light"/>
          <w:sz w:val="20"/>
          <w:szCs w:val="20"/>
          <w:lang w:val="sk-SK"/>
        </w:rPr>
        <w:t>tržieb za rok 2020 sa použijú sumárne tržby za 1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 xml:space="preserve">. kvartál 2020 vynásobené 4x alebo tržby za mesiac </w:t>
      </w:r>
      <w:r w:rsidR="00886BE9">
        <w:rPr>
          <w:rFonts w:ascii="Calibri Light" w:hAnsi="Calibri Light" w:cs="Calibri Light"/>
          <w:sz w:val="20"/>
          <w:szCs w:val="20"/>
          <w:lang w:val="sk-SK"/>
        </w:rPr>
        <w:t>február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 xml:space="preserve"> 2020 vynásobené 12x</w:t>
      </w:r>
      <w:r w:rsidR="000404FF">
        <w:rPr>
          <w:rFonts w:ascii="Calibri Light" w:hAnsi="Calibri Light" w:cs="Calibri Light"/>
          <w:sz w:val="20"/>
          <w:szCs w:val="20"/>
          <w:lang w:val="sk-SK"/>
        </w:rPr>
        <w:t>; alebo</w:t>
      </w:r>
    </w:p>
    <w:p w14:paraId="0A60FCB4" w14:textId="7AA74383" w:rsidR="001867B0" w:rsidRPr="003C24F9" w:rsidRDefault="001867B0" w:rsidP="00944CA1">
      <w:pPr>
        <w:pStyle w:val="ListParagraph"/>
        <w:spacing w:after="60"/>
        <w:ind w:left="1003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45CB374B" w14:textId="11F61541" w:rsidR="00E14E36" w:rsidRPr="003C24F9" w:rsidRDefault="001867B0" w:rsidP="001867B0">
      <w:pPr>
        <w:pStyle w:val="ListParagraph"/>
        <w:numPr>
          <w:ilvl w:val="0"/>
          <w:numId w:val="29"/>
        </w:numPr>
        <w:spacing w:after="60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3C24F9">
        <w:rPr>
          <w:rFonts w:ascii="Calibri Light" w:hAnsi="Calibri Light" w:cs="Calibri Light"/>
          <w:sz w:val="20"/>
          <w:szCs w:val="20"/>
          <w:lang w:val="sk-SK"/>
        </w:rPr>
        <w:t xml:space="preserve">2x osobné náklady Záujemcu za rok 2019 alebo </w:t>
      </w:r>
      <w:proofErr w:type="spellStart"/>
      <w:r w:rsidRPr="003C24F9">
        <w:rPr>
          <w:rFonts w:ascii="Calibri Light" w:hAnsi="Calibri Light" w:cs="Calibri Light"/>
          <w:sz w:val="20"/>
          <w:szCs w:val="20"/>
          <w:lang w:val="sk-SK"/>
        </w:rPr>
        <w:t>anualizované</w:t>
      </w:r>
      <w:proofErr w:type="spellEnd"/>
      <w:r w:rsidRPr="003C24F9">
        <w:rPr>
          <w:rFonts w:ascii="Calibri Light" w:hAnsi="Calibri Light" w:cs="Calibri Light"/>
          <w:sz w:val="20"/>
          <w:szCs w:val="20"/>
          <w:lang w:val="sk-SK"/>
        </w:rPr>
        <w:t xml:space="preserve"> osobné náklady za rok 2020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 xml:space="preserve">. V prípade </w:t>
      </w:r>
      <w:proofErr w:type="spellStart"/>
      <w:r w:rsidR="00BA3FA3">
        <w:rPr>
          <w:rFonts w:ascii="Calibri Light" w:hAnsi="Calibri Light" w:cs="Calibri Light"/>
          <w:sz w:val="20"/>
          <w:szCs w:val="20"/>
          <w:lang w:val="sk-SK"/>
        </w:rPr>
        <w:t>anualizácie</w:t>
      </w:r>
      <w:proofErr w:type="spellEnd"/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 xml:space="preserve"> osobných nákladov za rok 2020 sa použijú sumárne osobné náklady za 1. kvartál vynásobené 4x alebo osobné náklady</w:t>
      </w:r>
      <w:r w:rsidR="00886BE9">
        <w:rPr>
          <w:rFonts w:ascii="Calibri Light" w:hAnsi="Calibri Light" w:cs="Calibri Light"/>
          <w:sz w:val="20"/>
          <w:szCs w:val="20"/>
          <w:lang w:val="sk-SK"/>
        </w:rPr>
        <w:t xml:space="preserve"> za mesiac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886BE9">
        <w:rPr>
          <w:rFonts w:ascii="Calibri Light" w:hAnsi="Calibri Light" w:cs="Calibri Light"/>
          <w:sz w:val="20"/>
          <w:szCs w:val="20"/>
          <w:lang w:val="sk-SK"/>
        </w:rPr>
        <w:t>február</w:t>
      </w:r>
      <w:r w:rsidR="00886BE9" w:rsidRPr="003C24F9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0105C9" w:rsidRPr="003C24F9">
        <w:rPr>
          <w:rFonts w:ascii="Calibri Light" w:hAnsi="Calibri Light" w:cs="Calibri Light"/>
          <w:sz w:val="20"/>
          <w:szCs w:val="20"/>
          <w:lang w:val="sk-SK"/>
        </w:rPr>
        <w:t>2020 vynásobené 12x. V zmysle mechanizmu sa takto stanovené hodnoty následne vynásobia 2x (rovnako v prípade roku 2019).</w:t>
      </w:r>
    </w:p>
    <w:p w14:paraId="2015110A" w14:textId="77777777" w:rsidR="006624D5" w:rsidRPr="003C24F9" w:rsidRDefault="006624D5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33B6979" w14:textId="42D76320" w:rsidR="00F46D18" w:rsidRPr="003C24F9" w:rsidRDefault="000105C9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Maximálna výška úveru je 645 tis. EUR v prípade 36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 xml:space="preserve">-mesačnej splatnosti </w:t>
      </w:r>
      <w:r w:rsidRPr="003C24F9">
        <w:rPr>
          <w:rFonts w:asciiTheme="majorHAnsi" w:hAnsiTheme="majorHAnsi"/>
          <w:sz w:val="20"/>
          <w:szCs w:val="20"/>
          <w:lang w:val="sk-SK"/>
        </w:rPr>
        <w:t>a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 714 tis. EUR v prípade 18-mesačnej splatnosti</w:t>
      </w:r>
      <w:r w:rsidR="001B0E61">
        <w:rPr>
          <w:rFonts w:asciiTheme="majorHAnsi" w:hAnsiTheme="majorHAnsi"/>
          <w:sz w:val="20"/>
          <w:szCs w:val="20"/>
          <w:lang w:val="sk-SK"/>
        </w:rPr>
        <w:t>, pričom finálna výska úveru podlieha schváleniu SIH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>. Výpočet Záujemca podloží</w:t>
      </w:r>
      <w:r w:rsidR="00C67C88" w:rsidRPr="003C24F9">
        <w:rPr>
          <w:rFonts w:asciiTheme="majorHAnsi" w:hAnsiTheme="majorHAnsi"/>
          <w:sz w:val="20"/>
          <w:szCs w:val="20"/>
          <w:lang w:val="sk-SK"/>
        </w:rPr>
        <w:t xml:space="preserve"> výpočet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t xml:space="preserve"> priložením finančných výkazov za rok 2019 alebo priebežných finančných výkazov za rok 2020. V prípade účtovného obdobia, </w:t>
      </w:r>
      <w:r w:rsidR="006624D5" w:rsidRPr="003C24F9">
        <w:rPr>
          <w:rFonts w:asciiTheme="majorHAnsi" w:hAnsiTheme="majorHAnsi"/>
          <w:sz w:val="20"/>
          <w:szCs w:val="20"/>
          <w:lang w:val="sk-SK"/>
        </w:rPr>
        <w:lastRenderedPageBreak/>
        <w:t>ktoré nezodpovedá kalendárnemu roku 2019, použije Záujemca také účtovné obdobie, ktoré obsahuje aspoň 6 mesiacov kalendárneho roka 2019.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Tržby alebo osobné náklady musia byť v plnej miere viazané na inovatívny produkt alebo službu</w:t>
      </w:r>
      <w:r w:rsidR="00944CA1">
        <w:rPr>
          <w:rFonts w:asciiTheme="majorHAnsi" w:hAnsiTheme="majorHAnsi"/>
          <w:sz w:val="20"/>
          <w:szCs w:val="20"/>
          <w:lang w:val="sk-SK"/>
        </w:rPr>
        <w:t>, musia byť dosiahnuté na trhovom princípe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a nemôžu zahŕňať iné </w:t>
      </w:r>
      <w:r w:rsidR="000D221B" w:rsidRPr="003C24F9">
        <w:rPr>
          <w:rFonts w:asciiTheme="majorHAnsi" w:hAnsiTheme="majorHAnsi"/>
          <w:sz w:val="20"/>
          <w:szCs w:val="20"/>
          <w:lang w:val="sk-SK"/>
        </w:rPr>
        <w:t xml:space="preserve">historické 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>aktivity</w:t>
      </w:r>
      <w:r w:rsidR="00F66E9D">
        <w:rPr>
          <w:rFonts w:asciiTheme="majorHAnsi" w:hAnsiTheme="majorHAnsi"/>
          <w:sz w:val="20"/>
          <w:szCs w:val="20"/>
          <w:lang w:val="sk-SK"/>
        </w:rPr>
        <w:t xml:space="preserve"> alebo jednorazové obchody mimo základných aktivít Záujemcu</w:t>
      </w:r>
      <w:r w:rsidR="000D221B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794A33AD" w14:textId="77777777" w:rsidR="00F46D18" w:rsidRPr="003C24F9" w:rsidRDefault="00F46D18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EAD6331" w14:textId="77777777" w:rsidR="00AE6CCC" w:rsidRPr="003C24F9" w:rsidRDefault="007C00CE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Po prejavení záujmu SIH vykoná úvodné posúdenie s ohľadom </w:t>
      </w:r>
      <w:r w:rsidR="00F66E9D">
        <w:rPr>
          <w:rFonts w:asciiTheme="majorHAnsi" w:hAnsiTheme="majorHAnsi"/>
          <w:sz w:val="20"/>
          <w:szCs w:val="20"/>
          <w:lang w:val="sk-SK"/>
        </w:rPr>
        <w:t xml:space="preserve">na </w:t>
      </w:r>
      <w:r w:rsidR="004C032E" w:rsidRPr="003C24F9">
        <w:rPr>
          <w:rFonts w:asciiTheme="majorHAnsi" w:hAnsiTheme="majorHAnsi"/>
          <w:sz w:val="20"/>
          <w:szCs w:val="20"/>
          <w:lang w:val="sk-SK"/>
        </w:rPr>
        <w:t>inovatívny</w:t>
      </w:r>
      <w:r w:rsidR="00AE6CCC" w:rsidRPr="003C24F9">
        <w:rPr>
          <w:rFonts w:asciiTheme="majorHAnsi" w:hAnsiTheme="majorHAnsi"/>
          <w:sz w:val="20"/>
          <w:szCs w:val="20"/>
          <w:lang w:val="sk-SK"/>
        </w:rPr>
        <w:t xml:space="preserve"> profil Záujemcu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</w:t>
      </w:r>
      <w:r w:rsidR="00AE6CCC" w:rsidRPr="003C24F9">
        <w:rPr>
          <w:rFonts w:asciiTheme="majorHAnsi" w:hAnsiTheme="majorHAnsi"/>
          <w:sz w:val="20"/>
          <w:szCs w:val="20"/>
          <w:lang w:val="sk-SK"/>
        </w:rPr>
        <w:t> indikovanú výšku úveru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v zmysle podmienok Schémy</w:t>
      </w:r>
      <w:r w:rsidR="008062A3" w:rsidRPr="003C24F9">
        <w:rPr>
          <w:rFonts w:asciiTheme="majorHAnsi" w:hAnsiTheme="majorHAnsi"/>
          <w:sz w:val="20"/>
          <w:szCs w:val="20"/>
          <w:lang w:val="sk-SK"/>
        </w:rPr>
        <w:t>, pričom výsledok úvodného posúdenia oznámi Záujemcovi.</w:t>
      </w:r>
    </w:p>
    <w:p w14:paraId="4CC325A4" w14:textId="77777777" w:rsidR="00AE6CCC" w:rsidRPr="003C24F9" w:rsidRDefault="00AE6CCC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1A7DA6A" w14:textId="77777777" w:rsidR="00E27A9D" w:rsidRPr="003C24F9" w:rsidRDefault="00E27A9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Následný Hodnotiaci proces bude pozostávať z:</w:t>
      </w:r>
    </w:p>
    <w:p w14:paraId="3F72D40C" w14:textId="77777777" w:rsidR="00E27A9D" w:rsidRPr="003C24F9" w:rsidRDefault="00E27A9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33DAB66" w14:textId="6580773F" w:rsidR="00E27A9D" w:rsidRPr="003C24F9" w:rsidRDefault="00F75382" w:rsidP="00E27A9D">
      <w:pPr>
        <w:pStyle w:val="ListParagraph"/>
        <w:numPr>
          <w:ilvl w:val="0"/>
          <w:numId w:val="27"/>
        </w:num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Posúdeni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inovatívnosti </w:t>
      </w:r>
      <w:r w:rsidR="00DD3DF6">
        <w:rPr>
          <w:rFonts w:asciiTheme="majorHAnsi" w:hAnsiTheme="majorHAnsi"/>
          <w:sz w:val="20"/>
          <w:szCs w:val="20"/>
          <w:lang w:val="sk-SK"/>
        </w:rPr>
        <w:t xml:space="preserve">a trhového potenciálu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 xml:space="preserve">vykonaného </w:t>
      </w:r>
      <w:r w:rsidR="001233A7" w:rsidRPr="003C24F9">
        <w:rPr>
          <w:rFonts w:asciiTheme="majorHAnsi" w:hAnsiTheme="majorHAnsi"/>
          <w:sz w:val="20"/>
          <w:szCs w:val="20"/>
          <w:lang w:val="sk-SK"/>
        </w:rPr>
        <w:t>prostredníctvom</w:t>
      </w:r>
      <w:r w:rsidR="004C1735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683D87" w:rsidRPr="003C24F9">
        <w:rPr>
          <w:rFonts w:asciiTheme="majorHAnsi" w:hAnsiTheme="majorHAnsi"/>
          <w:sz w:val="20"/>
          <w:szCs w:val="20"/>
          <w:lang w:val="sk-SK"/>
        </w:rPr>
        <w:t>Z</w:t>
      </w:r>
      <w:r w:rsidR="004C1735" w:rsidRPr="003C24F9">
        <w:rPr>
          <w:rFonts w:asciiTheme="majorHAnsi" w:hAnsiTheme="majorHAnsi"/>
          <w:sz w:val="20"/>
          <w:szCs w:val="20"/>
          <w:lang w:val="sk-SK"/>
        </w:rPr>
        <w:t>áujemcom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vyplneného</w:t>
      </w:r>
      <w:r w:rsidR="00145FFB" w:rsidRPr="003C24F9">
        <w:rPr>
          <w:rFonts w:asciiTheme="majorHAnsi" w:hAnsiTheme="majorHAnsi"/>
          <w:sz w:val="20"/>
          <w:szCs w:val="20"/>
          <w:lang w:val="sk-SK"/>
        </w:rPr>
        <w:t xml:space="preserve"> formuláru</w:t>
      </w:r>
      <w:r w:rsidR="00886BE9">
        <w:rPr>
          <w:rFonts w:asciiTheme="majorHAnsi" w:hAnsiTheme="majorHAnsi"/>
          <w:sz w:val="20"/>
          <w:szCs w:val="20"/>
          <w:lang w:val="sk-SK"/>
        </w:rPr>
        <w:t xml:space="preserve"> z Prílohy č. 2</w:t>
      </w:r>
      <w:r w:rsidR="00145FFB" w:rsidRPr="003C24F9">
        <w:rPr>
          <w:rFonts w:asciiTheme="majorHAnsi" w:hAnsiTheme="majorHAnsi"/>
          <w:sz w:val="20"/>
          <w:szCs w:val="20"/>
          <w:lang w:val="sk-SK"/>
        </w:rPr>
        <w:t xml:space="preserve"> a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 xml:space="preserve">vychádzajúceho z </w:t>
      </w:r>
      <w:r w:rsidR="00145FFB" w:rsidRPr="003C24F9">
        <w:rPr>
          <w:rFonts w:asciiTheme="majorHAnsi" w:hAnsiTheme="majorHAnsi"/>
          <w:sz w:val="20"/>
          <w:szCs w:val="20"/>
          <w:lang w:val="sk-SK"/>
        </w:rPr>
        <w:t xml:space="preserve">metodiky programu EIC </w:t>
      </w:r>
      <w:proofErr w:type="spellStart"/>
      <w:r w:rsidR="00145FFB" w:rsidRPr="003C24F9">
        <w:rPr>
          <w:rFonts w:asciiTheme="majorHAnsi" w:hAnsiTheme="majorHAnsi"/>
          <w:sz w:val="20"/>
          <w:szCs w:val="20"/>
          <w:lang w:val="sk-SK"/>
        </w:rPr>
        <w:t>Accelerator</w:t>
      </w:r>
      <w:proofErr w:type="spellEnd"/>
      <w:r w:rsidR="00145FFB" w:rsidRPr="003C24F9">
        <w:rPr>
          <w:rFonts w:asciiTheme="majorHAnsi" w:hAnsiTheme="majorHAnsi"/>
          <w:sz w:val="20"/>
          <w:szCs w:val="20"/>
          <w:lang w:val="sk-SK"/>
        </w:rPr>
        <w:t>, ktorý realizuje Európska komisia. Hodno</w:t>
      </w:r>
      <w:r w:rsidR="004C1735" w:rsidRPr="003C24F9">
        <w:rPr>
          <w:rFonts w:asciiTheme="majorHAnsi" w:hAnsiTheme="majorHAnsi"/>
          <w:sz w:val="20"/>
          <w:szCs w:val="20"/>
          <w:lang w:val="sk-SK"/>
        </w:rPr>
        <w:t xml:space="preserve">tenie vypracujú hodnotitelia </w:t>
      </w:r>
      <w:r w:rsidR="00145FFB" w:rsidRPr="003C24F9">
        <w:rPr>
          <w:rFonts w:asciiTheme="majorHAnsi" w:hAnsiTheme="majorHAnsi"/>
          <w:sz w:val="20"/>
          <w:szCs w:val="20"/>
          <w:lang w:val="sk-SK"/>
        </w:rPr>
        <w:t xml:space="preserve">akreditovaní pre účely programu EIC </w:t>
      </w:r>
      <w:proofErr w:type="spellStart"/>
      <w:r w:rsidR="001233A7" w:rsidRPr="003C24F9">
        <w:rPr>
          <w:rFonts w:asciiTheme="majorHAnsi" w:hAnsiTheme="majorHAnsi"/>
          <w:sz w:val="20"/>
          <w:szCs w:val="20"/>
          <w:lang w:val="sk-SK"/>
        </w:rPr>
        <w:t>Accelerator</w:t>
      </w:r>
      <w:proofErr w:type="spellEnd"/>
      <w:r w:rsidR="004C1735" w:rsidRPr="003C24F9">
        <w:rPr>
          <w:rFonts w:asciiTheme="majorHAnsi" w:hAnsiTheme="majorHAnsi"/>
          <w:sz w:val="20"/>
          <w:szCs w:val="20"/>
          <w:lang w:val="sk-SK"/>
        </w:rPr>
        <w:t xml:space="preserve"> na anonymnej báze v</w:t>
      </w:r>
      <w:r w:rsidR="00683D87" w:rsidRPr="003C24F9">
        <w:rPr>
          <w:rFonts w:asciiTheme="majorHAnsi" w:hAnsiTheme="majorHAnsi"/>
          <w:sz w:val="20"/>
          <w:szCs w:val="20"/>
          <w:lang w:val="sk-SK"/>
        </w:rPr>
        <w:t> termíne od 5.10. 2020 do 9.10.2020</w:t>
      </w:r>
      <w:r w:rsidR="004C1735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683D87" w:rsidRPr="003C24F9">
        <w:rPr>
          <w:rFonts w:asciiTheme="majorHAnsi" w:hAnsiTheme="majorHAnsi"/>
          <w:sz w:val="20"/>
          <w:szCs w:val="20"/>
          <w:lang w:val="sk-SK"/>
        </w:rPr>
        <w:t>Výsledkom posúdenia bude bodové skóre, na základe ktorého sa Záujemcovia zoradia v poradí od najlepšie hodnoteného po najhoršie hodnoteného s prihliadnutím na geografickú príslušnosť v zmysle alokácie prostriedkov.</w:t>
      </w:r>
    </w:p>
    <w:p w14:paraId="5FE53621" w14:textId="77777777" w:rsidR="00873845" w:rsidRPr="003C24F9" w:rsidRDefault="00873845" w:rsidP="00873845">
      <w:pPr>
        <w:pStyle w:val="ListParagraph"/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75A742A" w14:textId="77777777" w:rsidR="00D8505D" w:rsidRPr="003C24F9" w:rsidRDefault="00683D87" w:rsidP="00C557F6">
      <w:pPr>
        <w:pStyle w:val="ListParagraph"/>
        <w:numPr>
          <w:ilvl w:val="0"/>
          <w:numId w:val="27"/>
        </w:num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A</w:t>
      </w:r>
      <w:r w:rsidR="00304FFD" w:rsidRPr="003C24F9">
        <w:rPr>
          <w:rFonts w:asciiTheme="majorHAnsi" w:hAnsiTheme="majorHAnsi"/>
          <w:sz w:val="20"/>
          <w:szCs w:val="20"/>
          <w:lang w:val="sk-SK"/>
        </w:rPr>
        <w:t>nal</w:t>
      </w:r>
      <w:r w:rsidR="00500667" w:rsidRPr="003C24F9">
        <w:rPr>
          <w:rFonts w:asciiTheme="majorHAnsi" w:hAnsiTheme="majorHAnsi"/>
          <w:sz w:val="20"/>
          <w:szCs w:val="20"/>
          <w:lang w:val="sk-SK"/>
        </w:rPr>
        <w:t>ýzy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 xml:space="preserve"> vypracovan</w:t>
      </w:r>
      <w:r w:rsidR="00500667" w:rsidRPr="003C24F9">
        <w:rPr>
          <w:rFonts w:asciiTheme="majorHAnsi" w:hAnsiTheme="majorHAnsi"/>
          <w:sz w:val="20"/>
          <w:szCs w:val="20"/>
          <w:lang w:val="sk-SK"/>
        </w:rPr>
        <w:t>ej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 xml:space="preserve"> SIH a/alebo externým poradcom</w:t>
      </w:r>
      <w:r w:rsidR="0053545C" w:rsidRPr="003C24F9">
        <w:rPr>
          <w:rFonts w:asciiTheme="majorHAnsi" w:hAnsiTheme="majorHAnsi"/>
          <w:sz w:val="20"/>
          <w:szCs w:val="20"/>
          <w:lang w:val="sk-SK"/>
        </w:rPr>
        <w:t xml:space="preserve">,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pričom jej</w:t>
      </w:r>
      <w:r w:rsidR="00304FFD" w:rsidRPr="003C24F9">
        <w:rPr>
          <w:rFonts w:asciiTheme="majorHAnsi" w:hAnsiTheme="majorHAnsi"/>
          <w:sz w:val="20"/>
          <w:szCs w:val="20"/>
          <w:lang w:val="sk-SK"/>
        </w:rPr>
        <w:t xml:space="preserve"> predmetom bude najmä posúdenie finančných, daňových</w:t>
      </w:r>
      <w:r w:rsidR="00261C0A" w:rsidRPr="003C24F9">
        <w:rPr>
          <w:rFonts w:asciiTheme="majorHAnsi" w:hAnsiTheme="majorHAnsi"/>
          <w:sz w:val="20"/>
          <w:szCs w:val="20"/>
          <w:lang w:val="sk-SK"/>
        </w:rPr>
        <w:t xml:space="preserve"> a právnych aspektov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Z</w:t>
      </w:r>
      <w:r w:rsidR="00261C0A" w:rsidRPr="003C24F9">
        <w:rPr>
          <w:rFonts w:asciiTheme="majorHAnsi" w:hAnsiTheme="majorHAnsi"/>
          <w:sz w:val="20"/>
          <w:szCs w:val="20"/>
          <w:lang w:val="sk-SK"/>
        </w:rPr>
        <w:t>áujemcu</w:t>
      </w:r>
      <w:r w:rsidR="00304FFD" w:rsidRPr="003C24F9">
        <w:rPr>
          <w:rFonts w:asciiTheme="majorHAnsi" w:hAnsiTheme="majorHAnsi"/>
          <w:sz w:val="20"/>
          <w:szCs w:val="20"/>
          <w:lang w:val="sk-SK"/>
        </w:rPr>
        <w:t>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Analýza bude vypracovaná u Záujemcov podľa poradia zostaveného v súlade s bodom 1)</w:t>
      </w:r>
      <w:r w:rsidR="00D944AB" w:rsidRPr="003C24F9">
        <w:rPr>
          <w:rFonts w:asciiTheme="majorHAnsi" w:hAnsiTheme="majorHAnsi"/>
          <w:sz w:val="20"/>
          <w:szCs w:val="20"/>
          <w:lang w:val="sk-SK"/>
        </w:rPr>
        <w:t xml:space="preserve"> s ohľadom na disponibilitu zdrojov zo strany SIH. Vybraní Záujemcovia obdržia od SIH pred vykonaním analýzy zoznam podkladov, ktoré bude potrebné pre účely analýzy pripraviť.</w:t>
      </w:r>
    </w:p>
    <w:p w14:paraId="642769D7" w14:textId="77777777" w:rsidR="00D8505D" w:rsidRPr="003C24F9" w:rsidRDefault="00D8505D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7143D3D" w14:textId="6F69917E" w:rsidR="00E1758C" w:rsidRPr="003C24F9" w:rsidRDefault="001233A7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SIH na základe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záverov Hodnotiaceho procesu rozhodne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o </w:t>
      </w:r>
      <w:r w:rsidR="00DD3DF6">
        <w:rPr>
          <w:rFonts w:asciiTheme="majorHAnsi" w:hAnsiTheme="majorHAnsi"/>
          <w:sz w:val="20"/>
          <w:szCs w:val="20"/>
          <w:lang w:val="sk-SK"/>
        </w:rPr>
        <w:t xml:space="preserve">poskytnutí </w:t>
      </w:r>
      <w:r w:rsidRPr="003C24F9">
        <w:rPr>
          <w:rFonts w:asciiTheme="majorHAnsi" w:hAnsiTheme="majorHAnsi"/>
          <w:sz w:val="20"/>
          <w:szCs w:val="20"/>
          <w:lang w:val="sk-SK"/>
        </w:rPr>
        <w:t>(a v takom prípade aj o výške úveru) alebo</w:t>
      </w:r>
      <w:r w:rsidR="00DD3DF6">
        <w:rPr>
          <w:rFonts w:asciiTheme="majorHAnsi" w:hAnsiTheme="majorHAnsi"/>
          <w:sz w:val="20"/>
          <w:szCs w:val="20"/>
          <w:lang w:val="sk-SK"/>
        </w:rPr>
        <w:t xml:space="preserve"> neposkytnutí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D3DF6">
        <w:rPr>
          <w:rFonts w:asciiTheme="majorHAnsi" w:hAnsiTheme="majorHAnsi"/>
          <w:sz w:val="20"/>
          <w:szCs w:val="20"/>
          <w:lang w:val="sk-SK"/>
        </w:rPr>
        <w:t>konvertib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>i</w:t>
      </w:r>
      <w:r w:rsidR="00DD3DF6">
        <w:rPr>
          <w:rFonts w:asciiTheme="majorHAnsi" w:hAnsiTheme="majorHAnsi"/>
          <w:sz w:val="20"/>
          <w:szCs w:val="20"/>
          <w:lang w:val="sk-SK"/>
        </w:rPr>
        <w:t>lného úveru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D3DF6">
        <w:rPr>
          <w:rFonts w:asciiTheme="majorHAnsi" w:hAnsiTheme="majorHAnsi"/>
          <w:sz w:val="20"/>
          <w:szCs w:val="20"/>
          <w:lang w:val="sk-SK"/>
        </w:rPr>
        <w:t>Z</w:t>
      </w:r>
      <w:r w:rsidR="00DD3DF6" w:rsidRPr="003C24F9">
        <w:rPr>
          <w:rFonts w:asciiTheme="majorHAnsi" w:hAnsiTheme="majorHAnsi"/>
          <w:sz w:val="20"/>
          <w:szCs w:val="20"/>
          <w:lang w:val="sk-SK"/>
        </w:rPr>
        <w:t>áujemcovi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, pričom s úspešnými </w:t>
      </w:r>
      <w:r w:rsidR="00310D9F" w:rsidRPr="003C24F9">
        <w:rPr>
          <w:rFonts w:asciiTheme="majorHAnsi" w:hAnsiTheme="majorHAnsi"/>
          <w:sz w:val="20"/>
          <w:szCs w:val="20"/>
          <w:lang w:val="sk-SK"/>
        </w:rPr>
        <w:t>Z</w:t>
      </w:r>
      <w:r w:rsidRPr="003C24F9">
        <w:rPr>
          <w:rFonts w:asciiTheme="majorHAnsi" w:hAnsiTheme="majorHAnsi"/>
          <w:sz w:val="20"/>
          <w:szCs w:val="20"/>
          <w:lang w:val="sk-SK"/>
        </w:rPr>
        <w:t>áujemcami uzavrie štandardizovanú Zmluvu do 31.12.2020. Hlavné parametre finančného nástroja a Zmluvy sú uvedené v</w:t>
      </w:r>
      <w:r w:rsidR="009A3AC1" w:rsidRPr="003C24F9">
        <w:rPr>
          <w:rFonts w:asciiTheme="majorHAnsi" w:hAnsiTheme="majorHAnsi"/>
          <w:sz w:val="20"/>
          <w:szCs w:val="20"/>
          <w:lang w:val="sk-SK"/>
        </w:rPr>
        <w:t> bode 8. tejto Výzvy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3E7E28B9" w14:textId="77777777" w:rsidR="00E1758C" w:rsidRPr="003C24F9" w:rsidRDefault="00E1758C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8ED19B3" w14:textId="77777777" w:rsidR="00DA3188" w:rsidRPr="003C24F9" w:rsidRDefault="00DA3188" w:rsidP="00B51B6E">
      <w:pPr>
        <w:spacing w:after="0"/>
        <w:jc w:val="both"/>
        <w:rPr>
          <w:rFonts w:asciiTheme="majorHAnsi" w:hAnsiTheme="majorHAnsi"/>
          <w:b/>
          <w:bCs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sz w:val="20"/>
          <w:szCs w:val="20"/>
          <w:lang w:val="sk-SK"/>
        </w:rPr>
        <w:t>Alokácia prostriedkov pre Program</w:t>
      </w:r>
    </w:p>
    <w:p w14:paraId="0AFFAF5D" w14:textId="77777777" w:rsidR="00936DA4" w:rsidRPr="003C24F9" w:rsidRDefault="00936DA4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438"/>
      </w:tblGrid>
      <w:tr w:rsidR="00875172" w:rsidRPr="003C24F9" w14:paraId="17B21ACD" w14:textId="77777777" w:rsidTr="0098061A">
        <w:tc>
          <w:tcPr>
            <w:tcW w:w="4673" w:type="dxa"/>
          </w:tcPr>
          <w:p w14:paraId="0DF73344" w14:textId="77777777" w:rsidR="00875172" w:rsidRPr="003C24F9" w:rsidRDefault="000A5734" w:rsidP="00240F5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Finančný nástroj</w:t>
            </w:r>
          </w:p>
        </w:tc>
        <w:tc>
          <w:tcPr>
            <w:tcW w:w="1843" w:type="dxa"/>
          </w:tcPr>
          <w:p w14:paraId="5F767F2F" w14:textId="77777777" w:rsidR="00875172" w:rsidRPr="003C24F9" w:rsidRDefault="00875172" w:rsidP="00240F5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Určenie</w:t>
            </w:r>
          </w:p>
        </w:tc>
        <w:tc>
          <w:tcPr>
            <w:tcW w:w="2438" w:type="dxa"/>
            <w:vAlign w:val="center"/>
          </w:tcPr>
          <w:p w14:paraId="5FFA12DA" w14:textId="77777777" w:rsidR="00875172" w:rsidRPr="003C24F9" w:rsidRDefault="00875172" w:rsidP="000A5734">
            <w:pPr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b/>
                <w:bCs/>
                <w:sz w:val="20"/>
                <w:szCs w:val="20"/>
                <w:lang w:val="sk-SK"/>
              </w:rPr>
              <w:t>Finančný limit</w:t>
            </w:r>
          </w:p>
        </w:tc>
      </w:tr>
      <w:tr w:rsidR="00875172" w:rsidRPr="003C24F9" w14:paraId="6B03490D" w14:textId="77777777" w:rsidTr="0098061A">
        <w:tc>
          <w:tcPr>
            <w:tcW w:w="4673" w:type="dxa"/>
            <w:vAlign w:val="center"/>
          </w:tcPr>
          <w:p w14:paraId="26BAE9A4" w14:textId="77777777" w:rsidR="00875172" w:rsidRPr="003C24F9" w:rsidRDefault="00DA3188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Konvertibilné úvery</w:t>
            </w:r>
            <w:r w:rsidR="000A573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pre inovatívne podniky</w:t>
            </w:r>
          </w:p>
        </w:tc>
        <w:tc>
          <w:tcPr>
            <w:tcW w:w="1843" w:type="dxa"/>
            <w:vAlign w:val="center"/>
          </w:tcPr>
          <w:p w14:paraId="6BA1F0C6" w14:textId="77777777" w:rsidR="00875172" w:rsidRPr="003C24F9" w:rsidRDefault="00875172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Bratislavský kraj</w:t>
            </w:r>
          </w:p>
        </w:tc>
        <w:tc>
          <w:tcPr>
            <w:tcW w:w="2438" w:type="dxa"/>
            <w:vAlign w:val="center"/>
          </w:tcPr>
          <w:p w14:paraId="3E9EBE9C" w14:textId="77777777" w:rsidR="00875172" w:rsidRPr="003C24F9" w:rsidRDefault="000A5734" w:rsidP="000A5734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13</w:t>
            </w:r>
            <w:r w:rsidR="0087517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,970 tis. EUR</w:t>
            </w:r>
          </w:p>
        </w:tc>
      </w:tr>
      <w:tr w:rsidR="00875172" w:rsidRPr="003C24F9" w14:paraId="5A737695" w14:textId="77777777" w:rsidTr="0098061A">
        <w:tc>
          <w:tcPr>
            <w:tcW w:w="4673" w:type="dxa"/>
            <w:vAlign w:val="center"/>
          </w:tcPr>
          <w:p w14:paraId="78166484" w14:textId="77777777" w:rsidR="00875172" w:rsidRPr="003C24F9" w:rsidRDefault="00DA3188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Konvertibilné úvery pre inovatívne podniky</w:t>
            </w:r>
          </w:p>
        </w:tc>
        <w:tc>
          <w:tcPr>
            <w:tcW w:w="1843" w:type="dxa"/>
            <w:vAlign w:val="center"/>
          </w:tcPr>
          <w:p w14:paraId="0E1B1245" w14:textId="77777777" w:rsidR="00875172" w:rsidRPr="003C24F9" w:rsidRDefault="00875172" w:rsidP="000A5734">
            <w:p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SR s výnimkou Bratislavského kraja</w:t>
            </w:r>
          </w:p>
        </w:tc>
        <w:tc>
          <w:tcPr>
            <w:tcW w:w="2438" w:type="dxa"/>
            <w:vAlign w:val="center"/>
          </w:tcPr>
          <w:p w14:paraId="3F988D59" w14:textId="77777777" w:rsidR="00875172" w:rsidRPr="003C24F9" w:rsidRDefault="00875172" w:rsidP="000A5734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11,013 tis. EUR</w:t>
            </w:r>
          </w:p>
        </w:tc>
      </w:tr>
    </w:tbl>
    <w:p w14:paraId="1A991782" w14:textId="77777777" w:rsidR="00936DA4" w:rsidRPr="003C24F9" w:rsidRDefault="00936DA4" w:rsidP="00B51B6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7E27A6D9" w14:textId="77777777" w:rsidR="002A407D" w:rsidRPr="003C24F9" w:rsidRDefault="002A407D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 xml:space="preserve">Vyjadrenie záujmu </w:t>
      </w:r>
      <w:r w:rsidR="00197B35" w:rsidRPr="003C24F9">
        <w:rPr>
          <w:rFonts w:asciiTheme="majorHAnsi" w:hAnsiTheme="majorHAnsi"/>
          <w:b/>
          <w:sz w:val="24"/>
          <w:lang w:val="sk-SK"/>
        </w:rPr>
        <w:t>a termíny</w:t>
      </w:r>
    </w:p>
    <w:p w14:paraId="5238BDC1" w14:textId="77777777" w:rsidR="00F5264C" w:rsidRPr="003C24F9" w:rsidRDefault="00197B35" w:rsidP="007B622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Možnosť vyjadrenia záujmu začína dňom zverejnenia tejto výzvy na webovom sídle SIH </w:t>
      </w:r>
      <w:hyperlink r:id="rId16" w:history="1">
        <w:r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www.sih.sk</w:t>
        </w:r>
      </w:hyperlink>
      <w:r w:rsidRPr="003C24F9">
        <w:rPr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>a končí v</w:t>
      </w:r>
      <w:r w:rsidR="00F5264C" w:rsidRPr="003C24F9">
        <w:rPr>
          <w:rFonts w:asciiTheme="majorHAnsi" w:hAnsiTheme="majorHAnsi"/>
          <w:sz w:val="20"/>
          <w:szCs w:val="20"/>
          <w:lang w:val="sk-SK"/>
        </w:rPr>
        <w:t> konečný termín Vyjadrenia záujmu:</w:t>
      </w:r>
    </w:p>
    <w:p w14:paraId="65D476BE" w14:textId="77777777" w:rsidR="00197B35" w:rsidRPr="003C24F9" w:rsidRDefault="00197B35" w:rsidP="00197B35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197B35" w:rsidRPr="003C24F9" w14:paraId="041E9B75" w14:textId="77777777" w:rsidTr="00C557F6">
        <w:tc>
          <w:tcPr>
            <w:tcW w:w="5807" w:type="dxa"/>
          </w:tcPr>
          <w:p w14:paraId="22DC4ADD" w14:textId="77777777" w:rsidR="00197B35" w:rsidRPr="003C24F9" w:rsidRDefault="00197B35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Zverejnenie Výzvy na vyjadrenie záujmu</w:t>
            </w:r>
          </w:p>
        </w:tc>
        <w:tc>
          <w:tcPr>
            <w:tcW w:w="3209" w:type="dxa"/>
          </w:tcPr>
          <w:p w14:paraId="7830D314" w14:textId="77777777" w:rsidR="00197B35" w:rsidRPr="003F1AD6" w:rsidRDefault="00F46D18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003795">
              <w:rPr>
                <w:rFonts w:asciiTheme="majorHAnsi" w:hAnsiTheme="majorHAnsi"/>
                <w:sz w:val="20"/>
                <w:szCs w:val="20"/>
                <w:lang w:val="sk-SK"/>
              </w:rPr>
              <w:t>11</w:t>
            </w:r>
            <w:r w:rsidR="00197B35" w:rsidRPr="00003795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  <w:r w:rsidR="00F5264C" w:rsidRPr="00003795">
              <w:rPr>
                <w:rFonts w:asciiTheme="majorHAnsi" w:hAnsiTheme="majorHAnsi"/>
                <w:sz w:val="20"/>
                <w:szCs w:val="20"/>
                <w:lang w:val="sk-SK"/>
              </w:rPr>
              <w:t>9</w:t>
            </w:r>
            <w:r w:rsidR="00197B35" w:rsidRPr="0000379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.2020 </w:t>
            </w:r>
            <w:r w:rsidR="003F1AD6" w:rsidRPr="00003795">
              <w:rPr>
                <w:rFonts w:asciiTheme="majorHAnsi" w:hAnsiTheme="majorHAnsi"/>
                <w:sz w:val="20"/>
                <w:szCs w:val="20"/>
                <w:lang w:val="sk-SK"/>
              </w:rPr>
              <w:t>16</w:t>
            </w:r>
            <w:r w:rsidR="00197B35" w:rsidRPr="00003795">
              <w:rPr>
                <w:rFonts w:asciiTheme="majorHAnsi" w:hAnsiTheme="majorHAnsi"/>
                <w:sz w:val="20"/>
                <w:szCs w:val="20"/>
                <w:lang w:val="sk-SK"/>
              </w:rPr>
              <w:t>:00</w:t>
            </w:r>
          </w:p>
        </w:tc>
      </w:tr>
      <w:tr w:rsidR="00197B35" w:rsidRPr="003C24F9" w14:paraId="4CEA2E23" w14:textId="77777777" w:rsidTr="00C557F6">
        <w:tc>
          <w:tcPr>
            <w:tcW w:w="5807" w:type="dxa"/>
          </w:tcPr>
          <w:p w14:paraId="253E8E47" w14:textId="77777777" w:rsidR="00197B35" w:rsidRPr="003C24F9" w:rsidRDefault="00197B35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C24F9">
              <w:rPr>
                <w:rFonts w:asciiTheme="majorHAnsi" w:hAnsiTheme="majorHAnsi"/>
                <w:sz w:val="20"/>
                <w:szCs w:val="20"/>
                <w:lang w:val="sk-SK"/>
              </w:rPr>
              <w:t>Konečný termín dodania dokladov týkajúcich sa Vyjadrenia záujmu</w:t>
            </w:r>
          </w:p>
        </w:tc>
        <w:tc>
          <w:tcPr>
            <w:tcW w:w="3209" w:type="dxa"/>
          </w:tcPr>
          <w:p w14:paraId="6BE50B2A" w14:textId="77777777" w:rsidR="00197B35" w:rsidRPr="003F1AD6" w:rsidRDefault="00F46D18" w:rsidP="00C557F6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F1AD6">
              <w:rPr>
                <w:rFonts w:asciiTheme="majorHAnsi" w:hAnsiTheme="majorHAnsi"/>
                <w:sz w:val="20"/>
                <w:szCs w:val="20"/>
                <w:lang w:val="sk-SK"/>
              </w:rPr>
              <w:t>30</w:t>
            </w:r>
            <w:r w:rsidR="00F5264C" w:rsidRPr="003F1AD6">
              <w:rPr>
                <w:rFonts w:asciiTheme="majorHAnsi" w:hAnsiTheme="majorHAnsi"/>
                <w:sz w:val="20"/>
                <w:szCs w:val="20"/>
                <w:lang w:val="sk-SK"/>
              </w:rPr>
              <w:t>.</w:t>
            </w:r>
            <w:r w:rsidRPr="003F1AD6">
              <w:rPr>
                <w:rFonts w:asciiTheme="majorHAnsi" w:hAnsiTheme="majorHAnsi"/>
                <w:sz w:val="20"/>
                <w:szCs w:val="20"/>
                <w:lang w:val="sk-SK"/>
              </w:rPr>
              <w:t>9</w:t>
            </w:r>
            <w:r w:rsidR="00197B35" w:rsidRPr="003F1AD6">
              <w:rPr>
                <w:rFonts w:asciiTheme="majorHAnsi" w:hAnsiTheme="majorHAnsi"/>
                <w:sz w:val="20"/>
                <w:szCs w:val="20"/>
                <w:lang w:val="sk-SK"/>
              </w:rPr>
              <w:t>.2020 2</w:t>
            </w:r>
            <w:r w:rsidRPr="003F1AD6">
              <w:rPr>
                <w:rFonts w:asciiTheme="majorHAnsi" w:hAnsiTheme="majorHAnsi"/>
                <w:sz w:val="20"/>
                <w:szCs w:val="20"/>
                <w:lang w:val="sk-SK"/>
              </w:rPr>
              <w:t>3</w:t>
            </w:r>
            <w:r w:rsidR="00197B35" w:rsidRPr="003F1AD6">
              <w:rPr>
                <w:rFonts w:asciiTheme="majorHAnsi" w:hAnsiTheme="majorHAnsi"/>
                <w:sz w:val="20"/>
                <w:szCs w:val="20"/>
                <w:lang w:val="sk-SK"/>
              </w:rPr>
              <w:t>:</w:t>
            </w:r>
            <w:r w:rsidRPr="003F1AD6">
              <w:rPr>
                <w:rFonts w:asciiTheme="majorHAnsi" w:hAnsiTheme="majorHAnsi"/>
                <w:sz w:val="20"/>
                <w:szCs w:val="20"/>
                <w:lang w:val="sk-SK"/>
              </w:rPr>
              <w:t>59</w:t>
            </w:r>
          </w:p>
        </w:tc>
      </w:tr>
    </w:tbl>
    <w:p w14:paraId="4EF8D380" w14:textId="77777777" w:rsidR="00197B35" w:rsidRPr="003C24F9" w:rsidRDefault="00197B35" w:rsidP="007B622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AD6A6B9" w14:textId="3FFF89BB" w:rsidR="00F5264C" w:rsidRPr="003C24F9" w:rsidRDefault="00197B35" w:rsidP="00F5264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Vyjadrenia záujmu musia byť podané elektronickou poštou na </w:t>
      </w:r>
      <w:r w:rsidRPr="00F171B5">
        <w:rPr>
          <w:rFonts w:asciiTheme="majorHAnsi" w:hAnsiTheme="majorHAnsi"/>
          <w:sz w:val="20"/>
          <w:szCs w:val="20"/>
          <w:lang w:val="sk-SK"/>
        </w:rPr>
        <w:t xml:space="preserve">adresu </w:t>
      </w:r>
      <w:hyperlink r:id="rId17" w:history="1">
        <w:r w:rsidR="009F798B" w:rsidRPr="00003795">
          <w:rPr>
            <w:rStyle w:val="Hyperlink"/>
            <w:rFonts w:asciiTheme="majorHAnsi" w:hAnsiTheme="majorHAnsi"/>
            <w:sz w:val="20"/>
            <w:szCs w:val="20"/>
            <w:lang w:val="sk-SK"/>
          </w:rPr>
          <w:t>SIHAK</w:t>
        </w:r>
        <w:r w:rsidR="009F798B" w:rsidRPr="00F171B5">
          <w:rPr>
            <w:rStyle w:val="Hyperlink"/>
            <w:rFonts w:asciiTheme="majorHAnsi" w:hAnsiTheme="majorHAnsi"/>
            <w:sz w:val="20"/>
            <w:szCs w:val="20"/>
            <w:lang w:val="sk-SK"/>
          </w:rPr>
          <w:t>@sih.sk</w:t>
        </w:r>
      </w:hyperlink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F5264C" w:rsidRPr="003C24F9">
        <w:rPr>
          <w:rFonts w:asciiTheme="majorHAnsi" w:hAnsiTheme="majorHAnsi"/>
          <w:sz w:val="20"/>
          <w:szCs w:val="20"/>
          <w:lang w:val="sk-SK"/>
        </w:rPr>
        <w:t xml:space="preserve">. </w:t>
      </w:r>
      <w:r w:rsidR="002A407D" w:rsidRPr="003C24F9">
        <w:rPr>
          <w:rFonts w:asciiTheme="majorHAnsi" w:hAnsiTheme="majorHAnsi"/>
          <w:sz w:val="20"/>
          <w:szCs w:val="20"/>
          <w:lang w:val="sk-SK"/>
        </w:rPr>
        <w:t>Vyjadrenie záujmu zahŕň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 xml:space="preserve">a 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>vyplnené podklady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 xml:space="preserve"> z Prílohy č.</w:t>
      </w:r>
      <w:r w:rsidR="00BA551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>1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 xml:space="preserve"> a Prílohy č.</w:t>
      </w:r>
      <w:r w:rsidR="00BA551F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2545E5" w:rsidRPr="003C24F9">
        <w:rPr>
          <w:rFonts w:asciiTheme="majorHAnsi" w:hAnsiTheme="majorHAnsi"/>
          <w:sz w:val="20"/>
          <w:szCs w:val="20"/>
          <w:lang w:val="sk-SK"/>
        </w:rPr>
        <w:t>2</w:t>
      </w:r>
      <w:r w:rsidR="004C032E" w:rsidRPr="003C24F9">
        <w:rPr>
          <w:rFonts w:asciiTheme="majorHAnsi" w:hAnsiTheme="majorHAnsi"/>
          <w:sz w:val="20"/>
          <w:szCs w:val="20"/>
          <w:lang w:val="sk-SK"/>
        </w:rPr>
        <w:t xml:space="preserve"> vo formáte </w:t>
      </w:r>
      <w:proofErr w:type="spellStart"/>
      <w:r w:rsidR="004C032E" w:rsidRPr="003C24F9">
        <w:rPr>
          <w:rFonts w:asciiTheme="majorHAnsi" w:hAnsiTheme="majorHAnsi"/>
          <w:sz w:val="20"/>
          <w:szCs w:val="20"/>
          <w:lang w:val="sk-SK"/>
        </w:rPr>
        <w:t>pdf</w:t>
      </w:r>
      <w:proofErr w:type="spellEnd"/>
      <w:r w:rsidR="004C032E" w:rsidRPr="003C24F9">
        <w:rPr>
          <w:rFonts w:asciiTheme="majorHAnsi" w:hAnsiTheme="majorHAnsi"/>
          <w:sz w:val="20"/>
          <w:szCs w:val="20"/>
          <w:lang w:val="sk-SK"/>
        </w:rPr>
        <w:t xml:space="preserve"> a </w:t>
      </w:r>
      <w:proofErr w:type="spellStart"/>
      <w:r w:rsidR="004C032E" w:rsidRPr="003C24F9">
        <w:rPr>
          <w:rFonts w:asciiTheme="majorHAnsi" w:hAnsiTheme="majorHAnsi"/>
          <w:sz w:val="20"/>
          <w:szCs w:val="20"/>
          <w:lang w:val="sk-SK"/>
        </w:rPr>
        <w:t>doc</w:t>
      </w:r>
      <w:proofErr w:type="spellEnd"/>
      <w:r w:rsidR="004C032E" w:rsidRPr="003C24F9">
        <w:rPr>
          <w:rFonts w:asciiTheme="majorHAnsi" w:hAnsiTheme="majorHAnsi"/>
          <w:sz w:val="20"/>
          <w:szCs w:val="20"/>
          <w:lang w:val="sk-SK"/>
        </w:rPr>
        <w:t>/</w:t>
      </w:r>
      <w:proofErr w:type="spellStart"/>
      <w:r w:rsidR="004C032E" w:rsidRPr="003C24F9">
        <w:rPr>
          <w:rFonts w:asciiTheme="majorHAnsi" w:hAnsiTheme="majorHAnsi"/>
          <w:sz w:val="20"/>
          <w:szCs w:val="20"/>
          <w:lang w:val="sk-SK"/>
        </w:rPr>
        <w:t>docx</w:t>
      </w:r>
      <w:proofErr w:type="spellEnd"/>
      <w:r w:rsidR="004C032E" w:rsidRPr="003C24F9">
        <w:rPr>
          <w:rFonts w:asciiTheme="majorHAnsi" w:hAnsiTheme="majorHAnsi"/>
          <w:sz w:val="20"/>
          <w:szCs w:val="20"/>
          <w:lang w:val="sk-SK"/>
        </w:rPr>
        <w:t xml:space="preserve"> (MS Word)</w:t>
      </w:r>
      <w:r w:rsidR="00601336" w:rsidRPr="003C24F9">
        <w:rPr>
          <w:rFonts w:asciiTheme="majorHAnsi" w:hAnsiTheme="majorHAnsi"/>
          <w:sz w:val="20"/>
          <w:szCs w:val="20"/>
          <w:lang w:val="sk-SK"/>
        </w:rPr>
        <w:t>. Má sa za to, že zaslaním uvedeného formuláru Záujemca vyjadril záujem.</w:t>
      </w:r>
    </w:p>
    <w:p w14:paraId="57C6DD26" w14:textId="77777777" w:rsidR="00601336" w:rsidRPr="003C24F9" w:rsidRDefault="00601336" w:rsidP="00F5264C">
      <w:pPr>
        <w:spacing w:after="0"/>
        <w:jc w:val="both"/>
        <w:rPr>
          <w:rFonts w:asciiTheme="majorHAnsi" w:hAnsiTheme="majorHAnsi"/>
          <w:sz w:val="20"/>
          <w:szCs w:val="20"/>
          <w:highlight w:val="yellow"/>
          <w:lang w:val="sk-SK"/>
        </w:rPr>
      </w:pPr>
    </w:p>
    <w:p w14:paraId="031EE1C3" w14:textId="4953A79F" w:rsidR="00F5264C" w:rsidRPr="003C24F9" w:rsidRDefault="00F5264C" w:rsidP="00F5264C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Záujemcovia môžu vziať svoje Vyjadrenie záujmu späť, pokiaľ nedošlo k uzavretiu Zmluvy. Prijatie Vyjadrenie záujmu bude záujemcovi potvrdené spolu s</w:t>
      </w:r>
      <w:r w:rsidR="00C76050" w:rsidRPr="003C24F9">
        <w:rPr>
          <w:rFonts w:asciiTheme="majorHAnsi" w:hAnsiTheme="majorHAnsi"/>
          <w:sz w:val="20"/>
          <w:szCs w:val="20"/>
          <w:lang w:val="sk-SK"/>
        </w:rPr>
        <w:t> úvodným posúden</w:t>
      </w:r>
      <w:r w:rsidR="000404FF">
        <w:rPr>
          <w:rFonts w:asciiTheme="majorHAnsi" w:hAnsiTheme="majorHAnsi"/>
          <w:sz w:val="20"/>
          <w:szCs w:val="20"/>
          <w:lang w:val="sk-SK"/>
        </w:rPr>
        <w:t>í</w:t>
      </w:r>
      <w:r w:rsidR="00C76050" w:rsidRPr="003C24F9">
        <w:rPr>
          <w:rFonts w:asciiTheme="majorHAnsi" w:hAnsiTheme="majorHAnsi"/>
          <w:sz w:val="20"/>
          <w:szCs w:val="20"/>
          <w:lang w:val="sk-SK"/>
        </w:rPr>
        <w:t>m SIH e-mailovou odpoveďou na Vyjadrenie záujmu.</w:t>
      </w:r>
    </w:p>
    <w:p w14:paraId="52C798FB" w14:textId="27DCBF7B" w:rsidR="00887D2B" w:rsidRDefault="00887D2B" w:rsidP="00887D2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AAA9DBC" w14:textId="528637F7" w:rsidR="00944CA1" w:rsidRDefault="00944CA1" w:rsidP="00887D2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21DDDAB" w14:textId="1B36197A" w:rsidR="00944CA1" w:rsidRDefault="00944CA1" w:rsidP="00887D2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57C0B68" w14:textId="77777777" w:rsidR="00944CA1" w:rsidRPr="003C24F9" w:rsidRDefault="00944CA1" w:rsidP="00887D2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E44B64B" w14:textId="77777777" w:rsidR="00F25DFF" w:rsidRPr="003C24F9" w:rsidRDefault="00F25DFF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Jazyk</w:t>
      </w:r>
    </w:p>
    <w:p w14:paraId="3D12354F" w14:textId="77777777" w:rsidR="00285F6A" w:rsidRPr="003C24F9" w:rsidRDefault="00285F6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Vyjadrenie záujmu vrátane pr</w:t>
      </w:r>
      <w:r w:rsidR="003649CE" w:rsidRPr="003C24F9">
        <w:rPr>
          <w:rFonts w:asciiTheme="majorHAnsi" w:hAnsiTheme="majorHAnsi"/>
          <w:sz w:val="20"/>
          <w:szCs w:val="20"/>
          <w:lang w:val="sk-SK"/>
        </w:rPr>
        <w:t>i</w:t>
      </w:r>
      <w:r w:rsidRPr="003C24F9">
        <w:rPr>
          <w:rFonts w:asciiTheme="majorHAnsi" w:hAnsiTheme="majorHAnsi"/>
          <w:sz w:val="20"/>
          <w:szCs w:val="20"/>
          <w:lang w:val="sk-SK"/>
        </w:rPr>
        <w:t>ložených dokumentov mus</w:t>
      </w:r>
      <w:r w:rsidR="00947EF9" w:rsidRPr="003C24F9">
        <w:rPr>
          <w:rFonts w:asciiTheme="majorHAnsi" w:hAnsiTheme="majorHAnsi"/>
          <w:sz w:val="20"/>
          <w:szCs w:val="20"/>
          <w:lang w:val="sk-SK"/>
        </w:rPr>
        <w:t>ia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byť </w:t>
      </w:r>
      <w:r w:rsidR="008C5C4C" w:rsidRPr="003C24F9">
        <w:rPr>
          <w:rFonts w:asciiTheme="majorHAnsi" w:hAnsiTheme="majorHAnsi"/>
          <w:sz w:val="20"/>
          <w:szCs w:val="20"/>
          <w:lang w:val="sk-SK"/>
        </w:rPr>
        <w:t xml:space="preserve">predložené </w:t>
      </w:r>
      <w:r w:rsidRPr="003C24F9">
        <w:rPr>
          <w:rFonts w:asciiTheme="majorHAnsi" w:hAnsiTheme="majorHAnsi"/>
          <w:sz w:val="20"/>
          <w:szCs w:val="20"/>
          <w:lang w:val="sk-SK"/>
        </w:rPr>
        <w:t>v slovenskom jazyku</w:t>
      </w:r>
      <w:r w:rsidR="00D4466A" w:rsidRPr="003C24F9">
        <w:rPr>
          <w:rFonts w:asciiTheme="majorHAnsi" w:hAnsiTheme="majorHAnsi"/>
          <w:sz w:val="20"/>
          <w:szCs w:val="20"/>
          <w:lang w:val="sk-SK"/>
        </w:rPr>
        <w:t xml:space="preserve"> alebo v anglickom jazyku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7B6857DB" w14:textId="77777777" w:rsidR="003F1AD6" w:rsidRPr="003C24F9" w:rsidRDefault="003F1AD6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CFF58FA" w14:textId="77777777" w:rsidR="002E2BCD" w:rsidRPr="003C24F9" w:rsidRDefault="002E2BCD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bookmarkStart w:id="4" w:name="_Toc410646153"/>
      <w:bookmarkStart w:id="5" w:name="_Toc411253298"/>
      <w:bookmarkStart w:id="6" w:name="_Toc421629028"/>
      <w:bookmarkStart w:id="7" w:name="_Toc441755846"/>
      <w:r w:rsidRPr="003C24F9">
        <w:rPr>
          <w:rFonts w:asciiTheme="majorHAnsi" w:hAnsiTheme="majorHAnsi"/>
          <w:b/>
          <w:sz w:val="24"/>
          <w:lang w:val="sk-SK"/>
        </w:rPr>
        <w:t>Prevádzkové ustanovenia</w:t>
      </w:r>
      <w:bookmarkEnd w:id="4"/>
      <w:bookmarkEnd w:id="5"/>
      <w:bookmarkEnd w:id="6"/>
      <w:bookmarkEnd w:id="7"/>
    </w:p>
    <w:p w14:paraId="398F95CA" w14:textId="77777777" w:rsidR="00E746EE" w:rsidRPr="003C24F9" w:rsidRDefault="00E746EE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Špecifické zmluvné podmienky</w:t>
      </w:r>
    </w:p>
    <w:p w14:paraId="547247A4" w14:textId="77777777" w:rsidR="00E746EE" w:rsidRPr="003C24F9" w:rsidRDefault="00E746EE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F332F93" w14:textId="77777777" w:rsidR="00EA5839" w:rsidRPr="003C24F9" w:rsidRDefault="00EA5839" w:rsidP="00EA583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Záujemcovia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, s ktorými budú </w:t>
      </w:r>
      <w:r w:rsidRPr="003C24F9">
        <w:rPr>
          <w:rFonts w:asciiTheme="majorHAnsi" w:hAnsiTheme="majorHAnsi"/>
          <w:sz w:val="20"/>
          <w:szCs w:val="20"/>
          <w:lang w:val="sk-SK"/>
        </w:rPr>
        <w:t>Zmluvy uzavreté,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musia s</w:t>
      </w:r>
      <w:r w:rsidR="008B24E9" w:rsidRPr="003C24F9">
        <w:rPr>
          <w:rFonts w:asciiTheme="majorHAnsi" w:hAnsiTheme="majorHAnsi"/>
          <w:sz w:val="20"/>
          <w:szCs w:val="20"/>
          <w:lang w:val="sk-SK"/>
        </w:rPr>
        <w:t>pĺňať podmienky vyplývajúce zo z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>ml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u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>v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y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medzi NDF</w:t>
      </w:r>
      <w:r w:rsidR="007D0E59" w:rsidRPr="003C24F9">
        <w:rPr>
          <w:rFonts w:asciiTheme="majorHAnsi" w:hAnsiTheme="majorHAnsi"/>
          <w:sz w:val="20"/>
          <w:szCs w:val="20"/>
          <w:lang w:val="sk-SK"/>
        </w:rPr>
        <w:t> </w:t>
      </w:r>
      <w:r w:rsidR="00D14B88" w:rsidRPr="003C24F9">
        <w:rPr>
          <w:rFonts w:asciiTheme="majorHAnsi" w:hAnsiTheme="majorHAnsi"/>
          <w:sz w:val="20"/>
          <w:szCs w:val="20"/>
          <w:lang w:val="sk-SK"/>
        </w:rPr>
        <w:t>II. a Ministerstvom hospodárstva SR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; 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>ide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najmä o podmienky monitorovania, </w:t>
      </w:r>
      <w:proofErr w:type="spellStart"/>
      <w:r w:rsidR="002E2BCD" w:rsidRPr="003C24F9">
        <w:rPr>
          <w:rFonts w:asciiTheme="majorHAnsi" w:hAnsiTheme="majorHAnsi"/>
          <w:sz w:val="20"/>
          <w:szCs w:val="20"/>
          <w:lang w:val="sk-SK"/>
        </w:rPr>
        <w:t>reportingu</w:t>
      </w:r>
      <w:proofErr w:type="spellEnd"/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, zverejňovania a auditu. Tieto povinnosti sú 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definované v</w:t>
      </w:r>
      <w:r w:rsidR="00E90ECA" w:rsidRPr="003C24F9">
        <w:rPr>
          <w:rFonts w:asciiTheme="majorHAnsi" w:hAnsiTheme="majorHAnsi"/>
          <w:sz w:val="20"/>
          <w:szCs w:val="20"/>
          <w:lang w:val="sk-SK"/>
        </w:rPr>
        <w:t> </w:t>
      </w:r>
      <w:r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2E2BCD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29B501CE" w14:textId="77777777" w:rsidR="00646956" w:rsidRPr="003C24F9" w:rsidRDefault="00646956" w:rsidP="00EA5839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01308CA" w14:textId="77777777" w:rsidR="00A70F7B" w:rsidRPr="003C24F9" w:rsidRDefault="00EA5839" w:rsidP="00A70F7B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Predložením svojich Vyjadrení záujmu sa Záujemcovia pokladajú za oboznámených so všetkými relevantnými zákonmi a predpismi v Slovenskej republike a Predpismi EÚ, ktoré môžu akýmkoľvek spôsobom ovplyvňovať alebo platia pre operácie a činnosti </w:t>
      </w:r>
      <w:r w:rsidR="00E27A9D" w:rsidRPr="003C24F9">
        <w:rPr>
          <w:rFonts w:asciiTheme="majorHAnsi" w:hAnsiTheme="majorHAnsi"/>
          <w:sz w:val="20"/>
          <w:szCs w:val="20"/>
          <w:lang w:val="sk-SK"/>
        </w:rPr>
        <w:t>súvisiace so Schémou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>Záujemcovia zodpovedajú za pozorné preštudovanie podmienok tejto Výzvy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, Schémy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 ako aj 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Zmluvy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 vrátane všetkých podmienok vyplývajúcich z legislatívy súvisiacej s implementáciou tohto Finančného nástroja (tak ako je definované v </w:t>
      </w:r>
      <w:r w:rsidR="00646956"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). </w:t>
      </w:r>
    </w:p>
    <w:p w14:paraId="1544F5C4" w14:textId="77777777" w:rsidR="002900C6" w:rsidRPr="003C24F9" w:rsidRDefault="002900C6" w:rsidP="0064695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1952584" w14:textId="77777777" w:rsidR="002900C6" w:rsidRPr="003C24F9" w:rsidRDefault="002900C6" w:rsidP="002900C6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Vyjadrenia záujmu doručené na príslušnú elektronickú adresu uvedenú v tejto Výzve a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 podklady predložené v súvislosti s Hodnotiacim procesom sa Záujemcom nevracajú</w:t>
      </w:r>
      <w:r w:rsidRPr="003C24F9">
        <w:rPr>
          <w:rFonts w:asciiTheme="majorHAnsi" w:hAnsiTheme="majorHAnsi"/>
          <w:sz w:val="20"/>
          <w:szCs w:val="20"/>
          <w:lang w:val="sk-SK"/>
        </w:rPr>
        <w:t>. Zostávajú ako súčasť dokumentácie súvisiacej s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o Schémou.</w:t>
      </w:r>
    </w:p>
    <w:p w14:paraId="21CCED1B" w14:textId="77777777" w:rsidR="00646956" w:rsidRPr="003C24F9" w:rsidRDefault="00646956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</w:p>
    <w:p w14:paraId="4DB0E878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Náklady na Vyjadrenie záujmu</w:t>
      </w:r>
    </w:p>
    <w:p w14:paraId="16D31E43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3C3C9B93" w14:textId="77777777" w:rsidR="005C24D5" w:rsidRPr="00FD2C81" w:rsidRDefault="005C24D5" w:rsidP="008C6B31">
      <w:pPr>
        <w:spacing w:after="0"/>
        <w:jc w:val="both"/>
        <w:rPr>
          <w:rFonts w:asciiTheme="majorHAnsi" w:hAnsiTheme="majorHAnsi"/>
          <w:sz w:val="20"/>
          <w:szCs w:val="20"/>
          <w:lang w:val="en-GB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Všetky náklady a výdavky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>súvisiace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>s touto Výzvou a</w:t>
      </w:r>
      <w:r w:rsidR="00A70F7B" w:rsidRPr="003C24F9">
        <w:rPr>
          <w:rFonts w:asciiTheme="majorHAnsi" w:hAnsiTheme="majorHAnsi"/>
          <w:sz w:val="20"/>
          <w:szCs w:val="20"/>
          <w:lang w:val="sk-SK"/>
        </w:rPr>
        <w:t xml:space="preserve"> Hodnotiacim </w:t>
      </w:r>
      <w:r w:rsidR="00EA5839" w:rsidRPr="003C24F9">
        <w:rPr>
          <w:rFonts w:asciiTheme="majorHAnsi" w:hAnsiTheme="majorHAnsi"/>
          <w:sz w:val="20"/>
          <w:szCs w:val="20"/>
          <w:lang w:val="sk-SK"/>
        </w:rPr>
        <w:t xml:space="preserve">procesom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znáša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 xml:space="preserve">Záujemca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bez finančného nároku voči 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SI</w:t>
      </w:r>
      <w:r w:rsidR="00440321" w:rsidRPr="003C24F9">
        <w:rPr>
          <w:rFonts w:asciiTheme="majorHAnsi" w:hAnsiTheme="majorHAnsi"/>
          <w:sz w:val="20"/>
          <w:szCs w:val="20"/>
          <w:lang w:val="sk-SK"/>
        </w:rPr>
        <w:t>H</w:t>
      </w:r>
      <w:r w:rsidR="00CC75A0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7C2928D2" w14:textId="77777777" w:rsidR="000A770A" w:rsidRPr="003C24F9" w:rsidRDefault="000A770A" w:rsidP="008C6B3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520FF8FF" w14:textId="77777777" w:rsidR="00D54ECE" w:rsidRPr="003C24F9" w:rsidRDefault="00D54ECE" w:rsidP="008C6B31">
      <w:pPr>
        <w:spacing w:after="0"/>
        <w:jc w:val="both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Komunikácia</w:t>
      </w:r>
      <w:r w:rsidR="00BF2500"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 xml:space="preserve"> a mlčanlivosť</w:t>
      </w:r>
    </w:p>
    <w:p w14:paraId="49D04074" w14:textId="77777777" w:rsidR="00D54ECE" w:rsidRPr="003C24F9" w:rsidRDefault="00D54ECE" w:rsidP="008C6B31">
      <w:pPr>
        <w:spacing w:after="0"/>
        <w:jc w:val="both"/>
        <w:rPr>
          <w:rFonts w:asciiTheme="majorHAnsi" w:hAnsiTheme="majorHAnsi"/>
          <w:b/>
          <w:sz w:val="24"/>
          <w:lang w:val="sk-SK"/>
        </w:rPr>
      </w:pPr>
    </w:p>
    <w:p w14:paraId="5545789B" w14:textId="77777777" w:rsidR="00FD2C81" w:rsidRPr="00FD2C81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FD2C81">
        <w:rPr>
          <w:rFonts w:asciiTheme="majorHAnsi" w:hAnsiTheme="majorHAnsi"/>
          <w:sz w:val="20"/>
          <w:szCs w:val="20"/>
          <w:lang w:val="sk-SK"/>
        </w:rPr>
        <w:t>Záujemca je povinný vo Vyjadrení záujmu označiť, ktoré informácie v ňom uvedené sú neverejné a dôverné. SIH môže v rámci Hodnotiaceho procesu požadovať od Záujemcu alebo posudzovať údaje a materiály, ktoré sú neverejného a dôverného charakteru a obsahujú informácie o finančnej a obchodnej situácii Záujemcu. Záujemca Vyjadrením záujmu súhlasí s poskytnutím takýchto údajov a materiálov, a pokiaľ nie je uvedené inak, SIH sa zaväzuje zabezpečiť dôvernosť týchto údajov a ich ochranu a neposkytnúť ich bez predchádzajúceho písomného súhlasu Záujemcu žiadnej tretej strane</w:t>
      </w:r>
      <w:r w:rsidR="005F2B19">
        <w:rPr>
          <w:rFonts w:asciiTheme="majorHAnsi" w:hAnsiTheme="majorHAnsi"/>
          <w:sz w:val="20"/>
          <w:szCs w:val="20"/>
          <w:lang w:val="sk-SK"/>
        </w:rPr>
        <w:t xml:space="preserve"> s výnimkou svojich externých poradcov, hodnotiteľov, svojich akcionárov, členov dozorných orgánov a kontrolných orgánov SR a EÚ</w:t>
      </w:r>
      <w:r w:rsidRPr="00FD2C81">
        <w:rPr>
          <w:rFonts w:asciiTheme="majorHAnsi" w:hAnsiTheme="majorHAnsi"/>
          <w:sz w:val="20"/>
          <w:szCs w:val="20"/>
          <w:lang w:val="sk-SK"/>
        </w:rPr>
        <w:t xml:space="preserve">. </w:t>
      </w:r>
    </w:p>
    <w:p w14:paraId="6530C3AC" w14:textId="77777777" w:rsidR="00FD2C81" w:rsidRPr="00FD2C81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1ACF96DF" w14:textId="78387AC4" w:rsidR="00C76050" w:rsidRDefault="00FD2C81" w:rsidP="00FD2C81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FD2C81">
        <w:rPr>
          <w:rFonts w:asciiTheme="majorHAnsi" w:hAnsiTheme="majorHAnsi"/>
          <w:sz w:val="20"/>
          <w:szCs w:val="20"/>
          <w:lang w:val="sk-SK"/>
        </w:rPr>
        <w:t>SIH je pre účely Hodnotiaceho procesu a Schémy oprávnený poskytnúť neverejné a dôverné údaje svojim členom štatutárneho a kontrolného orgánu, zamestnancom a nezávislým poradcom, ktorí sa budú priamo podieľať na Hodnotiacom procese, ako aj členom štatutárneho a kontrolného orgánu a zamestnancom NDF II. SIH bude pri poskytnutí týchto údajov uvedené osoby informovať o ich dôvernom charaktere a povinnostiach vyplývajúcich z tejto Výzvy. Táto povinnosť sa nevzťahuje na prípady, kedy je poskytnutie údajov od SIH alebo NDF II. vyžadované v zmysle platnej legislatívy alebo pravidiel upravujúcich využitie zdrojov z Európskych štrukturálnych a investičných fondov.</w:t>
      </w:r>
    </w:p>
    <w:p w14:paraId="28DBA661" w14:textId="77777777" w:rsidR="00FD2C81" w:rsidRPr="003C24F9" w:rsidRDefault="00FD2C81" w:rsidP="00D54EC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D8AA804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bCs/>
          <w:color w:val="000000"/>
          <w:sz w:val="20"/>
          <w:szCs w:val="20"/>
          <w:lang w:val="sk-SK"/>
        </w:rPr>
        <w:t>Lehoty</w:t>
      </w:r>
    </w:p>
    <w:p w14:paraId="1B5C4D97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</w:p>
    <w:p w14:paraId="3F194CCF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 xml:space="preserve">Nedodržanie akejkoľvek lehoty určenej v tejto Výzve zo strany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SIH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nemá žiadny vplyv na priebeh tejto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 Výzvy a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na platnosť úkonov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SIH alebo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ov.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E03A3F" w:rsidRPr="003C24F9">
        <w:rPr>
          <w:rFonts w:asciiTheme="majorHAnsi" w:hAnsiTheme="majorHAnsi"/>
          <w:sz w:val="20"/>
          <w:szCs w:val="20"/>
          <w:lang w:val="sk-SK"/>
        </w:rPr>
        <w:t>ovia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nemajú nárok na náhradu škody, ktorá im </w:t>
      </w:r>
      <w:r w:rsidR="00691D36" w:rsidRPr="003C24F9">
        <w:rPr>
          <w:rFonts w:asciiTheme="majorHAnsi" w:hAnsiTheme="majorHAnsi"/>
          <w:sz w:val="20"/>
          <w:szCs w:val="20"/>
          <w:lang w:val="sk-SK"/>
        </w:rPr>
        <w:t xml:space="preserve">môže vzniknúť </w:t>
      </w:r>
      <w:r w:rsidRPr="003C24F9">
        <w:rPr>
          <w:rFonts w:asciiTheme="majorHAnsi" w:hAnsiTheme="majorHAnsi"/>
          <w:sz w:val="20"/>
          <w:szCs w:val="20"/>
          <w:lang w:val="sk-SK"/>
        </w:rPr>
        <w:t>v súvislosti s</w:t>
      </w:r>
      <w:r w:rsidR="001F285E" w:rsidRPr="003C24F9">
        <w:rPr>
          <w:rFonts w:asciiTheme="majorHAnsi" w:hAnsiTheme="majorHAnsi"/>
          <w:sz w:val="20"/>
          <w:szCs w:val="20"/>
          <w:lang w:val="sk-SK"/>
        </w:rPr>
        <w:t> odôvodneným predlžením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lehoty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zo strany SIH</w:t>
      </w:r>
      <w:r w:rsidR="001F285E" w:rsidRPr="003C24F9">
        <w:rPr>
          <w:rFonts w:asciiTheme="majorHAnsi" w:hAnsiTheme="majorHAnsi"/>
          <w:sz w:val="20"/>
          <w:szCs w:val="20"/>
          <w:lang w:val="sk-SK"/>
        </w:rPr>
        <w:t>.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</w:p>
    <w:p w14:paraId="48A46875" w14:textId="77777777" w:rsidR="002445F2" w:rsidRPr="003C24F9" w:rsidRDefault="002445F2" w:rsidP="00D54ECE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66482060" w14:textId="77777777" w:rsidR="00DD4D24" w:rsidRPr="003C24F9" w:rsidRDefault="00076FCE" w:rsidP="000A5CCD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  <w:r w:rsidRPr="003C24F9">
        <w:rPr>
          <w:rFonts w:asciiTheme="majorHAnsi" w:hAnsiTheme="majorHAnsi"/>
          <w:b/>
          <w:bCs/>
          <w:color w:val="000000"/>
          <w:lang w:val="sk-SK"/>
        </w:rPr>
        <w:lastRenderedPageBreak/>
        <w:t>Vyhradené práva vyhlasovateľa Výzvy na vyjadrenie záujmu</w:t>
      </w:r>
    </w:p>
    <w:p w14:paraId="780EF4D6" w14:textId="77777777" w:rsidR="00076FCE" w:rsidRPr="003C24F9" w:rsidRDefault="00076FCE" w:rsidP="000A5CCD">
      <w:pPr>
        <w:spacing w:after="0"/>
        <w:jc w:val="both"/>
        <w:rPr>
          <w:rFonts w:asciiTheme="majorHAnsi" w:hAnsiTheme="majorHAnsi"/>
          <w:b/>
          <w:bCs/>
          <w:color w:val="000000"/>
          <w:lang w:val="sk-SK"/>
        </w:rPr>
      </w:pPr>
    </w:p>
    <w:p w14:paraId="70D3C082" w14:textId="77777777" w:rsidR="002445F2" w:rsidRPr="003C24F9" w:rsidRDefault="009A3386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117F5A" w:rsidRPr="003C24F9">
        <w:rPr>
          <w:rFonts w:asciiTheme="majorHAnsi" w:hAnsiTheme="majorHAnsi"/>
          <w:sz w:val="20"/>
          <w:szCs w:val="20"/>
          <w:lang w:val="sk-SK"/>
        </w:rPr>
        <w:t xml:space="preserve">si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ako vyhlasovateľ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Výzvy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vyhradzuje právo:</w:t>
      </w:r>
    </w:p>
    <w:p w14:paraId="068D245B" w14:textId="77777777" w:rsidR="00076FCE" w:rsidRPr="003C24F9" w:rsidRDefault="001833D7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 xml:space="preserve">odôvodnene upraviť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podmienky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Výzvy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a ostatné </w:t>
      </w:r>
      <w:r w:rsidR="00F90E38" w:rsidRPr="003C24F9">
        <w:rPr>
          <w:rFonts w:asciiTheme="majorHAnsi" w:hAnsiTheme="majorHAnsi"/>
          <w:sz w:val="20"/>
          <w:szCs w:val="20"/>
          <w:lang w:val="sk-SK"/>
        </w:rPr>
        <w:t>podklady týkajúce sa tejto Výzvy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 a to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až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do 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>konečného termínu na predkladanie Vyjadrení záujmu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, pričom túto zmenu je 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SIH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 povinný bezodkladne oznámiť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</w:t>
      </w:r>
      <w:r w:rsidR="009A3386" w:rsidRPr="003C24F9">
        <w:rPr>
          <w:rFonts w:asciiTheme="majorHAnsi" w:hAnsiTheme="majorHAnsi"/>
          <w:sz w:val="20"/>
          <w:szCs w:val="20"/>
          <w:lang w:val="sk-SK"/>
        </w:rPr>
        <w:t>om</w:t>
      </w:r>
      <w:r w:rsidR="00230740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a súčasne zverejniť zmenu týchto podmienok </w:t>
      </w:r>
      <w:r w:rsidR="008B24E9" w:rsidRPr="003C24F9">
        <w:rPr>
          <w:rFonts w:asciiTheme="majorHAnsi" w:hAnsiTheme="majorHAnsi"/>
          <w:sz w:val="20"/>
          <w:szCs w:val="20"/>
          <w:lang w:val="sk-SK"/>
        </w:rPr>
        <w:t xml:space="preserve">na internetovej adrese: </w:t>
      </w:r>
      <w:hyperlink r:id="rId18" w:history="1">
        <w:r w:rsidR="003F03A7" w:rsidRPr="003C24F9">
          <w:rPr>
            <w:rStyle w:val="Hyperlink"/>
            <w:rFonts w:asciiTheme="majorHAnsi" w:hAnsiTheme="majorHAnsi"/>
            <w:sz w:val="20"/>
            <w:szCs w:val="20"/>
            <w:lang w:val="sk-SK"/>
          </w:rPr>
          <w:t>www.sih.sk</w:t>
        </w:r>
      </w:hyperlink>
      <w:r w:rsidR="008B24E9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6FB8648A" w14:textId="77777777" w:rsidR="00076FCE" w:rsidRPr="003C24F9" w:rsidRDefault="001833D7" w:rsidP="001833D7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odôvodnene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v ktoromkoľvek okamihu trvania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Hodnotiaceho procesu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odmietnuť všetky predložené Vyjadrenia záujmu</w:t>
      </w:r>
      <w:r w:rsidR="00333B75" w:rsidRPr="003C24F9">
        <w:rPr>
          <w:rFonts w:asciiTheme="majorHAnsi" w:hAnsiTheme="majorHAnsi"/>
          <w:sz w:val="20"/>
          <w:szCs w:val="20"/>
          <w:lang w:val="sk-SK"/>
        </w:rPr>
        <w:t xml:space="preserve"> alebo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ukončiť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Hodnotiaci proces</w:t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0FF5E5CA" w14:textId="77777777" w:rsidR="002445F2" w:rsidRPr="003C24F9" w:rsidRDefault="001833D7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(iii)</w:t>
      </w:r>
      <w:r w:rsidRPr="003C24F9">
        <w:rPr>
          <w:rFonts w:asciiTheme="majorHAnsi" w:hAnsiTheme="majorHAnsi"/>
          <w:sz w:val="20"/>
          <w:szCs w:val="20"/>
          <w:lang w:val="sk-SK"/>
        </w:rPr>
        <w:tab/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odôvodnene </w:t>
      </w:r>
      <w:r w:rsidR="00076FCE" w:rsidRPr="003C24F9">
        <w:rPr>
          <w:rFonts w:asciiTheme="majorHAnsi" w:hAnsiTheme="majorHAnsi"/>
          <w:sz w:val="20"/>
          <w:szCs w:val="20"/>
          <w:lang w:val="sk-SK"/>
        </w:rPr>
        <w:t xml:space="preserve">predĺžiť lehotu na predkladanie </w:t>
      </w:r>
      <w:r w:rsidR="00CA4E0D" w:rsidRPr="003C24F9">
        <w:rPr>
          <w:rFonts w:asciiTheme="majorHAnsi" w:hAnsiTheme="majorHAnsi"/>
          <w:sz w:val="20"/>
          <w:szCs w:val="20"/>
          <w:lang w:val="sk-SK"/>
        </w:rPr>
        <w:t>Vyjadrení záujmu</w:t>
      </w:r>
      <w:r w:rsidR="004C324F" w:rsidRPr="003C24F9">
        <w:rPr>
          <w:rFonts w:asciiTheme="majorHAnsi" w:hAnsiTheme="majorHAnsi"/>
          <w:sz w:val="20"/>
          <w:szCs w:val="20"/>
          <w:lang w:val="sk-SK"/>
        </w:rPr>
        <w:t>,</w:t>
      </w:r>
    </w:p>
    <w:p w14:paraId="677D4056" w14:textId="77777777" w:rsidR="00366B56" w:rsidRDefault="002445F2" w:rsidP="00BF2500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(iv)</w:t>
      </w:r>
      <w:r w:rsidRPr="003C24F9">
        <w:rPr>
          <w:rFonts w:asciiTheme="majorHAnsi" w:hAnsiTheme="majorHAnsi"/>
          <w:sz w:val="20"/>
          <w:szCs w:val="20"/>
          <w:lang w:val="sk-SK"/>
        </w:rPr>
        <w:tab/>
        <w:t>vylúčiť z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 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ktoréhokoľvek </w:t>
      </w:r>
      <w:r w:rsidR="00D10A2C" w:rsidRPr="003C24F9">
        <w:rPr>
          <w:rFonts w:asciiTheme="majorHAnsi" w:hAnsiTheme="majorHAnsi"/>
          <w:sz w:val="20"/>
          <w:szCs w:val="20"/>
          <w:lang w:val="sk-SK"/>
        </w:rPr>
        <w:t>Záujemcu</w:t>
      </w:r>
      <w:r w:rsidR="00DA4ABA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v prípade, ak v ktoromkoľvek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dokumente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="00873845" w:rsidRPr="003C24F9">
        <w:rPr>
          <w:rFonts w:asciiTheme="majorHAnsi" w:hAnsiTheme="majorHAnsi"/>
          <w:sz w:val="20"/>
          <w:szCs w:val="20"/>
          <w:lang w:val="sk-SK"/>
        </w:rPr>
        <w:t>alebo podklade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učinil objektívne nepravdivé tvrdenie</w:t>
      </w:r>
      <w:r w:rsidR="004C324F" w:rsidRPr="003C24F9">
        <w:rPr>
          <w:rFonts w:asciiTheme="majorHAnsi" w:hAnsiTheme="majorHAnsi"/>
          <w:sz w:val="20"/>
          <w:szCs w:val="20"/>
          <w:lang w:val="sk-SK"/>
        </w:rPr>
        <w:t>,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alebo ktorý prestane v priebehu </w:t>
      </w:r>
      <w:r w:rsidR="003F1AD6">
        <w:rPr>
          <w:rFonts w:asciiTheme="majorHAnsi" w:hAnsiTheme="majorHAnsi"/>
          <w:sz w:val="20"/>
          <w:szCs w:val="20"/>
          <w:lang w:val="sk-SK"/>
        </w:rPr>
        <w:t>Hodnotiaceho procesu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 spĺňať akékoľvek podmienky </w:t>
      </w:r>
      <w:r w:rsidR="00366B56" w:rsidRPr="003C24F9">
        <w:rPr>
          <w:rFonts w:asciiTheme="majorHAnsi" w:hAnsiTheme="majorHAnsi"/>
          <w:sz w:val="20"/>
          <w:szCs w:val="20"/>
          <w:lang w:val="sk-SK"/>
        </w:rPr>
        <w:t>Schémy</w:t>
      </w:r>
      <w:r w:rsidR="003F1AD6">
        <w:rPr>
          <w:rFonts w:asciiTheme="majorHAnsi" w:hAnsiTheme="majorHAnsi"/>
          <w:sz w:val="20"/>
          <w:szCs w:val="20"/>
          <w:lang w:val="sk-SK"/>
        </w:rPr>
        <w:t>,</w:t>
      </w:r>
    </w:p>
    <w:p w14:paraId="4B1A07CC" w14:textId="32100B2C" w:rsidR="003F1AD6" w:rsidRDefault="003F1AD6" w:rsidP="00BF2500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(v)</w:t>
      </w:r>
      <w:r>
        <w:rPr>
          <w:rFonts w:asciiTheme="majorHAnsi" w:hAnsiTheme="majorHAnsi"/>
          <w:sz w:val="20"/>
          <w:szCs w:val="20"/>
          <w:lang w:val="sk-SK"/>
        </w:rPr>
        <w:tab/>
        <w:t xml:space="preserve">neposkytnúť Záujemcovi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konvertibilný úver </w:t>
      </w:r>
      <w:r>
        <w:rPr>
          <w:rFonts w:asciiTheme="majorHAnsi" w:hAnsiTheme="majorHAnsi"/>
          <w:sz w:val="20"/>
          <w:szCs w:val="20"/>
          <w:lang w:val="sk-SK"/>
        </w:rPr>
        <w:t>v prípade, ak SIH počas Hodnotiaceho procesiu zistí skutočnosti, ktoré je možné odôvodnene požadovať za nezlučiteľné so zásadami obozretného investora,</w:t>
      </w:r>
    </w:p>
    <w:p w14:paraId="40A9EDCF" w14:textId="036B2F6C" w:rsidR="003F1AD6" w:rsidRDefault="003F1AD6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(vi)</w:t>
      </w:r>
      <w:r>
        <w:rPr>
          <w:rFonts w:asciiTheme="majorHAnsi" w:hAnsiTheme="majorHAnsi"/>
          <w:sz w:val="20"/>
          <w:szCs w:val="20"/>
          <w:lang w:val="sk-SK"/>
        </w:rPr>
        <w:tab/>
        <w:t xml:space="preserve">poskytnúť Záujemcovi 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konvertibilný úver </w:t>
      </w:r>
      <w:r>
        <w:rPr>
          <w:rFonts w:asciiTheme="majorHAnsi" w:hAnsiTheme="majorHAnsi"/>
          <w:sz w:val="20"/>
          <w:szCs w:val="20"/>
          <w:lang w:val="sk-SK"/>
        </w:rPr>
        <w:t>v nižšej výške</w:t>
      </w:r>
      <w:r w:rsidR="00B94D91">
        <w:rPr>
          <w:rFonts w:asciiTheme="majorHAnsi" w:hAnsiTheme="majorHAnsi"/>
          <w:sz w:val="20"/>
          <w:szCs w:val="20"/>
          <w:lang w:val="sk-SK"/>
        </w:rPr>
        <w:t xml:space="preserve"> v porovnaní s maximálnou výškou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vypočítan</w:t>
      </w:r>
      <w:r w:rsidR="00A946EF">
        <w:rPr>
          <w:rFonts w:asciiTheme="majorHAnsi" w:hAnsiTheme="majorHAnsi"/>
          <w:sz w:val="20"/>
          <w:szCs w:val="20"/>
          <w:lang w:val="sk-SK"/>
        </w:rPr>
        <w:t>ou</w:t>
      </w:r>
      <w:r w:rsidR="00886CF2">
        <w:rPr>
          <w:rFonts w:asciiTheme="majorHAnsi" w:hAnsiTheme="majorHAnsi"/>
          <w:sz w:val="20"/>
          <w:szCs w:val="20"/>
          <w:lang w:val="sk-SK"/>
        </w:rPr>
        <w:t xml:space="preserve"> na základe mechanizmu uvedeného v tejto Výzve</w:t>
      </w:r>
      <w:r w:rsidR="0057632B">
        <w:rPr>
          <w:rFonts w:asciiTheme="majorHAnsi" w:hAnsiTheme="majorHAnsi"/>
          <w:sz w:val="20"/>
          <w:szCs w:val="20"/>
          <w:lang w:val="sk-SK"/>
        </w:rPr>
        <w:t>,</w:t>
      </w:r>
    </w:p>
    <w:p w14:paraId="4244182B" w14:textId="20971295" w:rsidR="00FF6806" w:rsidRDefault="00FF6806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(vii)</w:t>
      </w:r>
      <w:r>
        <w:rPr>
          <w:rFonts w:asciiTheme="majorHAnsi" w:hAnsiTheme="majorHAnsi"/>
          <w:sz w:val="20"/>
          <w:szCs w:val="20"/>
          <w:lang w:val="sk-SK"/>
        </w:rPr>
        <w:tab/>
      </w:r>
      <w:r w:rsidR="0057632B">
        <w:rPr>
          <w:rFonts w:asciiTheme="majorHAnsi" w:hAnsiTheme="majorHAnsi"/>
          <w:sz w:val="20"/>
          <w:szCs w:val="20"/>
          <w:lang w:val="sk-SK"/>
        </w:rPr>
        <w:t>o</w:t>
      </w:r>
      <w:r>
        <w:rPr>
          <w:rFonts w:asciiTheme="majorHAnsi" w:hAnsiTheme="majorHAnsi"/>
          <w:sz w:val="20"/>
          <w:szCs w:val="20"/>
          <w:lang w:val="sk-SK"/>
        </w:rPr>
        <w:t>dložiť poskytnutie prostriedkov z konvertibilného úveru v prípade, ak NDF II. nebude disponovať dostatkom zdrojov od riadiaceho orgánu OP II z dôvodu prebiehajúceho zúčtovania prostriedkov, a to až do momentu, kedy budú tieto prostriedky NDF II. poukázané</w:t>
      </w:r>
      <w:r w:rsidR="0057632B">
        <w:rPr>
          <w:rFonts w:asciiTheme="majorHAnsi" w:hAnsiTheme="majorHAnsi"/>
          <w:sz w:val="20"/>
          <w:szCs w:val="20"/>
          <w:lang w:val="sk-SK"/>
        </w:rPr>
        <w:t>,</w:t>
      </w:r>
    </w:p>
    <w:p w14:paraId="367306F5" w14:textId="63493284" w:rsidR="009449DE" w:rsidRDefault="009449DE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  <w:lang w:val="sk-SK"/>
        </w:rPr>
        <w:t>(viii)</w:t>
      </w:r>
      <w:r>
        <w:rPr>
          <w:rFonts w:asciiTheme="majorHAnsi" w:hAnsiTheme="majorHAnsi"/>
          <w:sz w:val="20"/>
          <w:szCs w:val="20"/>
          <w:lang w:val="sk-SK"/>
        </w:rPr>
        <w:tab/>
      </w:r>
      <w:r w:rsidR="0057632B">
        <w:rPr>
          <w:rFonts w:asciiTheme="majorHAnsi" w:hAnsiTheme="majorHAnsi"/>
          <w:sz w:val="20"/>
          <w:szCs w:val="20"/>
          <w:lang w:val="sk-SK"/>
        </w:rPr>
        <w:t>neposkytnúť konvertibilný úver spoločnostiam, ktoré už v minulosti priamo alebo cez finančných sprostredkovateľov prijali investíciu od NDF II.</w:t>
      </w:r>
    </w:p>
    <w:p w14:paraId="3978A43B" w14:textId="77777777" w:rsidR="009449DE" w:rsidRDefault="009449DE" w:rsidP="002445F2">
      <w:pPr>
        <w:spacing w:after="0"/>
        <w:ind w:left="426" w:hanging="426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07576202" w14:textId="77777777" w:rsidR="002445F2" w:rsidRPr="003C24F9" w:rsidRDefault="002445F2" w:rsidP="002445F2">
      <w:pPr>
        <w:spacing w:after="0"/>
        <w:ind w:left="426" w:hanging="426"/>
        <w:jc w:val="both"/>
        <w:rPr>
          <w:rFonts w:asciiTheme="majorHAnsi" w:hAnsiTheme="majorHAnsi"/>
          <w:b/>
          <w:bCs/>
          <w:color w:val="000000"/>
          <w:lang w:val="sk-SK"/>
        </w:rPr>
      </w:pPr>
      <w:r w:rsidRPr="003C24F9">
        <w:rPr>
          <w:rFonts w:asciiTheme="majorHAnsi" w:hAnsiTheme="majorHAnsi"/>
          <w:b/>
          <w:bCs/>
          <w:color w:val="000000"/>
          <w:lang w:val="sk-SK"/>
        </w:rPr>
        <w:t>Rozhodné právo</w:t>
      </w:r>
    </w:p>
    <w:p w14:paraId="3E57AD9C" w14:textId="77777777" w:rsidR="002445F2" w:rsidRPr="003C24F9" w:rsidRDefault="002445F2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44AC0D11" w14:textId="77777777" w:rsidR="002445F2" w:rsidRPr="003C24F9" w:rsidRDefault="0056331B" w:rsidP="002445F2">
      <w:pPr>
        <w:spacing w:after="0"/>
        <w:jc w:val="both"/>
        <w:rPr>
          <w:rFonts w:asciiTheme="majorHAnsi" w:hAnsiTheme="majorHAnsi"/>
          <w:sz w:val="20"/>
          <w:szCs w:val="20"/>
          <w:lang w:val="sk-SK"/>
        </w:rPr>
        <w:sectPr w:rsidR="002445F2" w:rsidRPr="003C24F9" w:rsidSect="00697A29">
          <w:headerReference w:type="default" r:id="rId19"/>
          <w:footerReference w:type="default" r:id="rId2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3C24F9">
        <w:rPr>
          <w:rFonts w:asciiTheme="majorHAnsi" w:hAnsiTheme="majorHAnsi"/>
          <w:sz w:val="20"/>
          <w:szCs w:val="20"/>
          <w:lang w:val="sk-SK"/>
        </w:rPr>
        <w:t>P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odmienky, obsah, vznik, zánik a zmena akýchkoľvek právnych vzťahov z</w:t>
      </w:r>
      <w:r w:rsidR="00650011" w:rsidRPr="003C24F9">
        <w:rPr>
          <w:rFonts w:asciiTheme="majorHAnsi" w:hAnsiTheme="majorHAnsi"/>
          <w:sz w:val="20"/>
          <w:szCs w:val="20"/>
          <w:lang w:val="sk-SK"/>
        </w:rPr>
        <w:t xml:space="preserve"> nich 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>vyplývajúcich alebo s</w:t>
      </w:r>
      <w:r w:rsidR="00BF3757" w:rsidRPr="003C24F9">
        <w:rPr>
          <w:rFonts w:asciiTheme="majorHAnsi" w:hAnsiTheme="majorHAnsi"/>
          <w:sz w:val="20"/>
          <w:szCs w:val="20"/>
          <w:lang w:val="sk-SK"/>
        </w:rPr>
        <w:t> nimi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súvisiacich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 xml:space="preserve"> ako aj </w:t>
      </w:r>
      <w:r w:rsidR="00BF3757" w:rsidRPr="003C24F9">
        <w:rPr>
          <w:rFonts w:asciiTheme="majorHAnsi" w:hAnsiTheme="majorHAnsi"/>
          <w:sz w:val="20"/>
          <w:szCs w:val="20"/>
          <w:lang w:val="sk-SK"/>
        </w:rPr>
        <w:t xml:space="preserve">znenie </w:t>
      </w:r>
      <w:r w:rsidR="008D60FB" w:rsidRPr="003C24F9">
        <w:rPr>
          <w:rFonts w:asciiTheme="majorHAnsi" w:hAnsiTheme="majorHAnsi"/>
          <w:sz w:val="20"/>
          <w:szCs w:val="20"/>
          <w:lang w:val="sk-SK"/>
        </w:rPr>
        <w:t>Zmlúv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 xml:space="preserve"> sa riadia</w:t>
      </w:r>
      <w:r w:rsidR="002445F2" w:rsidRPr="003C24F9">
        <w:rPr>
          <w:rFonts w:asciiTheme="majorHAnsi" w:hAnsiTheme="majorHAnsi"/>
          <w:sz w:val="20"/>
          <w:szCs w:val="20"/>
          <w:lang w:val="sk-SK"/>
        </w:rPr>
        <w:t xml:space="preserve"> právnym poriadkom Slovenskej republiky, s vylúčením kolíznych noriem</w:t>
      </w:r>
      <w:r w:rsidR="00300ADE" w:rsidRPr="003C24F9">
        <w:rPr>
          <w:rFonts w:asciiTheme="majorHAnsi" w:hAnsiTheme="majorHAnsi"/>
          <w:sz w:val="20"/>
          <w:szCs w:val="20"/>
          <w:lang w:val="sk-SK"/>
        </w:rPr>
        <w:t>.</w:t>
      </w:r>
    </w:p>
    <w:p w14:paraId="177E2563" w14:textId="77777777" w:rsidR="00811EE1" w:rsidRPr="003C24F9" w:rsidRDefault="00811EE1" w:rsidP="00DD4D24">
      <w:pPr>
        <w:jc w:val="center"/>
        <w:rPr>
          <w:rFonts w:asciiTheme="majorHAnsi" w:hAnsiTheme="majorHAnsi"/>
          <w:b/>
          <w:sz w:val="24"/>
          <w:lang w:val="sk-SK"/>
        </w:rPr>
      </w:pPr>
    </w:p>
    <w:p w14:paraId="5D6D0321" w14:textId="77777777" w:rsidR="00375B28" w:rsidRPr="003C24F9" w:rsidRDefault="00D30CE2" w:rsidP="001860D4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t>Opis</w:t>
      </w:r>
      <w:r w:rsidR="00614DDF" w:rsidRPr="003C24F9">
        <w:rPr>
          <w:rFonts w:asciiTheme="majorHAnsi" w:hAnsiTheme="majorHAnsi"/>
          <w:b/>
          <w:sz w:val="24"/>
          <w:lang w:val="sk-SK"/>
        </w:rPr>
        <w:t xml:space="preserve"> Finančn</w:t>
      </w:r>
      <w:r w:rsidRPr="003C24F9">
        <w:rPr>
          <w:rFonts w:asciiTheme="majorHAnsi" w:hAnsiTheme="majorHAnsi"/>
          <w:b/>
          <w:sz w:val="24"/>
          <w:lang w:val="sk-SK"/>
        </w:rPr>
        <w:t>ého nástroja</w:t>
      </w:r>
    </w:p>
    <w:p w14:paraId="3A1E03B9" w14:textId="77777777" w:rsidR="00D07294" w:rsidRPr="003C24F9" w:rsidRDefault="00D07294" w:rsidP="00D07294">
      <w:pPr>
        <w:pStyle w:val="ListParagraph"/>
        <w:spacing w:after="240" w:line="240" w:lineRule="auto"/>
        <w:ind w:left="0"/>
        <w:jc w:val="both"/>
        <w:rPr>
          <w:rFonts w:asciiTheme="majorHAnsi" w:hAnsiTheme="majorHAnsi"/>
          <w:sz w:val="20"/>
          <w:szCs w:val="20"/>
          <w:lang w:val="sk-SK"/>
        </w:rPr>
      </w:pPr>
    </w:p>
    <w:p w14:paraId="2C8197EA" w14:textId="77777777" w:rsidR="008A0262" w:rsidRPr="003C24F9" w:rsidRDefault="008A0262" w:rsidP="00D07294">
      <w:pPr>
        <w:pStyle w:val="ListParagraph"/>
        <w:spacing w:after="240" w:line="240" w:lineRule="auto"/>
        <w:ind w:left="0"/>
        <w:jc w:val="both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20"/>
          <w:szCs w:val="20"/>
          <w:lang w:val="sk-SK"/>
        </w:rPr>
        <w:t>Presná špecifikácia Finančného nástroja je uvedená v</w:t>
      </w:r>
      <w:r w:rsidR="00240F52" w:rsidRPr="003C24F9">
        <w:rPr>
          <w:rFonts w:asciiTheme="majorHAnsi" w:hAnsiTheme="majorHAnsi"/>
          <w:sz w:val="20"/>
          <w:szCs w:val="20"/>
          <w:lang w:val="sk-SK"/>
        </w:rPr>
        <w:t> </w:t>
      </w:r>
      <w:r w:rsidR="004F369A" w:rsidRPr="003C24F9">
        <w:rPr>
          <w:rFonts w:asciiTheme="majorHAnsi" w:hAnsiTheme="majorHAnsi"/>
          <w:sz w:val="20"/>
          <w:szCs w:val="20"/>
          <w:lang w:val="sk-SK"/>
        </w:rPr>
        <w:t>Zmluve</w:t>
      </w:r>
      <w:r w:rsidRPr="003C24F9">
        <w:rPr>
          <w:rFonts w:asciiTheme="majorHAnsi" w:hAnsiTheme="majorHAnsi"/>
          <w:sz w:val="20"/>
          <w:szCs w:val="20"/>
          <w:lang w:val="sk-SK"/>
        </w:rPr>
        <w:t>.</w:t>
      </w:r>
      <w:r w:rsidR="00A432EC" w:rsidRPr="003C24F9">
        <w:rPr>
          <w:rFonts w:asciiTheme="majorHAnsi" w:hAnsiTheme="majorHAnsi"/>
          <w:sz w:val="20"/>
          <w:szCs w:val="20"/>
          <w:lang w:val="sk-SK"/>
        </w:rPr>
        <w:t xml:space="preserve"> </w:t>
      </w:r>
      <w:r w:rsidRPr="003C24F9">
        <w:rPr>
          <w:rFonts w:asciiTheme="majorHAnsi" w:hAnsiTheme="majorHAnsi"/>
          <w:sz w:val="20"/>
          <w:szCs w:val="20"/>
          <w:lang w:val="sk-SK"/>
        </w:rPr>
        <w:t xml:space="preserve">Nižšie sa nachádza sumár kľúčových informácií týkajúcich sa princípov fungovania </w:t>
      </w:r>
      <w:r w:rsidR="00650011" w:rsidRPr="003C24F9">
        <w:rPr>
          <w:rFonts w:asciiTheme="majorHAnsi" w:hAnsiTheme="majorHAnsi"/>
          <w:sz w:val="20"/>
          <w:szCs w:val="20"/>
          <w:lang w:val="sk-SK"/>
        </w:rPr>
        <w:t xml:space="preserve">a nastavenia </w:t>
      </w:r>
      <w:r w:rsidRPr="003C24F9">
        <w:rPr>
          <w:rFonts w:asciiTheme="majorHAnsi" w:hAnsiTheme="majorHAnsi"/>
          <w:sz w:val="20"/>
          <w:szCs w:val="20"/>
          <w:lang w:val="sk-SK"/>
        </w:rPr>
        <w:t>Finančného nástroja.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7359"/>
      </w:tblGrid>
      <w:tr w:rsidR="00240F52" w:rsidRPr="003C24F9" w14:paraId="1B4F1CC5" w14:textId="77777777" w:rsidTr="00240F52">
        <w:tc>
          <w:tcPr>
            <w:tcW w:w="1718" w:type="dxa"/>
          </w:tcPr>
          <w:p w14:paraId="02ADBF55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Finančný nástroj</w:t>
            </w:r>
          </w:p>
        </w:tc>
        <w:tc>
          <w:tcPr>
            <w:tcW w:w="7972" w:type="dxa"/>
          </w:tcPr>
          <w:p w14:paraId="5E91D2C1" w14:textId="77777777" w:rsidR="00240F52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Konvertibilný úver pre inovatívne podniky postihnuté dopadmi COVID-19</w:t>
            </w:r>
          </w:p>
        </w:tc>
      </w:tr>
      <w:tr w:rsidR="00240F52" w:rsidRPr="003C24F9" w14:paraId="60417BEB" w14:textId="77777777" w:rsidTr="00240F52">
        <w:tc>
          <w:tcPr>
            <w:tcW w:w="1718" w:type="dxa"/>
          </w:tcPr>
          <w:p w14:paraId="450F7633" w14:textId="34C783FF" w:rsidR="00240F52" w:rsidRPr="003C24F9" w:rsidRDefault="00EF255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</w:t>
            </w:r>
            <w:r w:rsidR="009C0B9F">
              <w:rPr>
                <w:rFonts w:ascii="Calibri Light" w:hAnsi="Calibri Light" w:cs="Calibri Light"/>
                <w:sz w:val="20"/>
                <w:szCs w:val="20"/>
                <w:lang w:val="sk-SK"/>
              </w:rPr>
              <w:t>š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ka úveru</w:t>
            </w:r>
          </w:p>
        </w:tc>
        <w:tc>
          <w:tcPr>
            <w:tcW w:w="7972" w:type="dxa"/>
          </w:tcPr>
          <w:p w14:paraId="7D366B0D" w14:textId="651FA201" w:rsidR="00EF2556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Maximálna výška úveru za predpokladu nároku Záujemcu</w:t>
            </w:r>
            <w:r w:rsidR="00F2609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(</w:t>
            </w:r>
            <w:r w:rsidR="002E36D8">
              <w:rPr>
                <w:rFonts w:ascii="Calibri Light" w:hAnsi="Calibri Light" w:cs="Calibri Light"/>
                <w:sz w:val="20"/>
                <w:szCs w:val="20"/>
                <w:lang w:val="sk-SK"/>
              </w:rPr>
              <w:t>pozri</w:t>
            </w:r>
            <w:r w:rsidR="002E36D8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="00F2609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nižšie)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:</w:t>
            </w:r>
          </w:p>
          <w:p w14:paraId="2BB5BA79" w14:textId="77777777" w:rsidR="00EF2556" w:rsidRPr="003C24F9" w:rsidRDefault="00EF2556" w:rsidP="00EF255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714 tis. EUR pri 18-mesačnej splatnosti;</w:t>
            </w:r>
          </w:p>
          <w:p w14:paraId="75BF8B65" w14:textId="77777777" w:rsidR="00EF2556" w:rsidRPr="003C24F9" w:rsidRDefault="00EF2556" w:rsidP="00EF255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645 tis. EUR pri 36-mesačnej splatnosti.</w:t>
            </w:r>
          </w:p>
          <w:p w14:paraId="5053A0EB" w14:textId="77777777" w:rsidR="004F369A" w:rsidRPr="003C24F9" w:rsidRDefault="004F369A" w:rsidP="004F369A">
            <w:pPr>
              <w:pStyle w:val="ListParagraph"/>
              <w:ind w:left="100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335141B2" w14:textId="77777777" w:rsidR="00EF2556" w:rsidRPr="003C24F9" w:rsidRDefault="00EF2556" w:rsidP="00B94D91">
            <w:pPr>
              <w:spacing w:after="120"/>
              <w:ind w:firstLine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Pre splatnosť úveru v rozmedzí od 18 do </w:t>
            </w:r>
            <w:r w:rsidR="004F369A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3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6 mesiacov sa výška úveru stanoví ako:</w:t>
            </w:r>
          </w:p>
          <w:p w14:paraId="4F5219D6" w14:textId="77777777" w:rsidR="00EF2556" w:rsidRPr="003C24F9" w:rsidRDefault="00EF2556" w:rsidP="00EF2556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sk-SK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sk-SK"/>
                  </w:rPr>
                  <m:t>Maximálna výška úveru v EUR=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sk-SK"/>
                      </w:rPr>
                      <m:t>800 000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sk-SK"/>
                      </w:rPr>
                      <m:t>1+r*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sk-S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sk-SK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sk-SK"/>
                          </w:rPr>
                          <m:t>12</m:t>
                        </m:r>
                      </m:den>
                    </m:f>
                  </m:den>
                </m:f>
              </m:oMath>
            </m:oMathPara>
          </w:p>
          <w:p w14:paraId="1BB60E38" w14:textId="77777777" w:rsidR="00FD4BF7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pričom:</w:t>
            </w:r>
          </w:p>
          <w:p w14:paraId="324C4E44" w14:textId="77777777" w:rsidR="00FD4BF7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r vyjadruje úrokovú sadzbu, ktorá v zmysle </w:t>
            </w:r>
            <w:r w:rsidR="00EE5B4B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odseku nižšie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predstavuje 8,0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%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p.a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.,</w:t>
            </w:r>
          </w:p>
          <w:p w14:paraId="34634AF7" w14:textId="77777777" w:rsidR="00EF2556" w:rsidRPr="003C24F9" w:rsidRDefault="00FD4BF7" w:rsidP="00FD4BF7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 vyjadruje počet mesiacov splatnosti a zároveň platí, že 18 ≤ n ≤ 36</w:t>
            </w:r>
            <w:r w:rsidR="00C86E8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  <w:p w14:paraId="603FAB6A" w14:textId="77777777" w:rsidR="00EF2556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059FD881" w14:textId="77777777" w:rsidR="00240F52" w:rsidRPr="003C24F9" w:rsidRDefault="00EF255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Maximáln</w:t>
            </w:r>
            <w:r w:rsidR="00FD4BF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 výška úveru a akumulovaných úrokov nesmie presiahnuť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800 tis. EUR</w:t>
            </w:r>
            <w:r w:rsidR="00FD4BF7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</w:tc>
      </w:tr>
      <w:tr w:rsidR="00240F52" w:rsidRPr="003C24F9" w14:paraId="7CD73955" w14:textId="77777777" w:rsidTr="00240F52">
        <w:tc>
          <w:tcPr>
            <w:tcW w:w="1718" w:type="dxa"/>
          </w:tcPr>
          <w:p w14:paraId="4B3BC2E8" w14:textId="77777777" w:rsidR="00240F52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Splatnosť</w:t>
            </w:r>
          </w:p>
        </w:tc>
        <w:tc>
          <w:tcPr>
            <w:tcW w:w="7972" w:type="dxa"/>
          </w:tcPr>
          <w:p w14:paraId="4EB124A2" w14:textId="1AABC05B" w:rsidR="00240F52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18 až 36 mesiacov</w:t>
            </w:r>
            <w:r w:rsidR="00EC065F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 základe dohody Záujemcu a SIH.</w:t>
            </w:r>
          </w:p>
        </w:tc>
      </w:tr>
      <w:tr w:rsidR="00F26096" w:rsidRPr="003C24F9" w14:paraId="455BED24" w14:textId="77777777" w:rsidTr="00240F52">
        <w:tc>
          <w:tcPr>
            <w:tcW w:w="1718" w:type="dxa"/>
          </w:tcPr>
          <w:p w14:paraId="67BF73F4" w14:textId="77777777" w:rsidR="00F26096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Úroková sadzba</w:t>
            </w:r>
            <w:r w:rsidR="004F369A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a úročenie úveru</w:t>
            </w:r>
          </w:p>
        </w:tc>
        <w:tc>
          <w:tcPr>
            <w:tcW w:w="7972" w:type="dxa"/>
          </w:tcPr>
          <w:p w14:paraId="36D03E12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8,0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%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p.a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  <w:p w14:paraId="6DE9F7A0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43CDB314" w14:textId="77777777" w:rsidR="00F26096" w:rsidRPr="003C24F9" w:rsidRDefault="00F26096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Úroky sú splatné spolu s istinou (t.j. akumulujú sa, pričom nenesú dodatočný úro</w:t>
            </w:r>
            <w:r w:rsidR="00B94D91">
              <w:rPr>
                <w:rFonts w:ascii="Calibri Light" w:hAnsi="Calibri Light" w:cs="Calibri Light"/>
                <w:sz w:val="20"/>
                <w:szCs w:val="20"/>
                <w:lang w:val="sk-SK"/>
              </w:rPr>
              <w:t>k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), resp. sa spolu s istinou ku dňu konverzie vymenia za nový obchodný podiel v Záujemcovi.</w:t>
            </w:r>
          </w:p>
        </w:tc>
      </w:tr>
      <w:tr w:rsidR="00F26096" w:rsidRPr="003C24F9" w14:paraId="5D20259C" w14:textId="77777777" w:rsidTr="00240F52">
        <w:tc>
          <w:tcPr>
            <w:tcW w:w="1718" w:type="dxa"/>
          </w:tcPr>
          <w:p w14:paraId="72A566FA" w14:textId="0996EE70" w:rsidR="00F26096" w:rsidRPr="003C24F9" w:rsidRDefault="00F26096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Stanovenie výšky </w:t>
            </w:r>
            <w:r w:rsidR="00190846">
              <w:rPr>
                <w:rFonts w:ascii="Calibri Light" w:hAnsi="Calibri Light" w:cs="Calibri Light"/>
                <w:sz w:val="20"/>
                <w:szCs w:val="20"/>
                <w:lang w:val="sk-SK"/>
              </w:rPr>
              <w:t>úveru</w:t>
            </w:r>
          </w:p>
        </w:tc>
        <w:tc>
          <w:tcPr>
            <w:tcW w:w="7972" w:type="dxa"/>
          </w:tcPr>
          <w:p w14:paraId="4E6C6A0C" w14:textId="77777777" w:rsidR="00F26096" w:rsidRPr="003C24F9" w:rsidRDefault="00F26096" w:rsidP="00003795">
            <w:pPr>
              <w:spacing w:after="60"/>
              <w:ind w:left="284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Výška úveru sa stanoví ako vyššia suma z hodnôt vypočítaných nasledovným spôsobom:</w:t>
            </w:r>
          </w:p>
          <w:p w14:paraId="302D377C" w14:textId="53BB21C6" w:rsidR="00F26096" w:rsidRPr="003C24F9" w:rsidRDefault="00F26096" w:rsidP="00003795">
            <w:pPr>
              <w:pStyle w:val="ListParagraph"/>
              <w:numPr>
                <w:ilvl w:val="0"/>
                <w:numId w:val="29"/>
              </w:numPr>
              <w:spacing w:after="60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1x tržby </w:t>
            </w:r>
            <w:r w:rsidR="00515F0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Záujemcu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za rok 2019 alebo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anualizované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tržby za rok 2020 (vypočítané na mesačnej alebo štvrťročnej báze); </w:t>
            </w:r>
          </w:p>
          <w:p w14:paraId="5A3D9207" w14:textId="4FCF5847" w:rsidR="00F26096" w:rsidRDefault="00F26096" w:rsidP="00003795">
            <w:pPr>
              <w:pStyle w:val="ListParagraph"/>
              <w:numPr>
                <w:ilvl w:val="0"/>
                <w:numId w:val="29"/>
              </w:numPr>
              <w:spacing w:after="60"/>
              <w:ind w:left="1003" w:hanging="357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2x osobné náklady </w:t>
            </w:r>
            <w:r w:rsidR="00515F0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Záujemcu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za rok 2019 alebo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anualizované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 osobné náklady za rok 2020 (vypočítané na mesačnej alebo štvrťročnej báze)</w:t>
            </w:r>
            <w:r w:rsidR="00EC065F">
              <w:rPr>
                <w:rFonts w:ascii="Calibri Light" w:hAnsi="Calibri Light" w:cs="Calibri Light"/>
                <w:sz w:val="20"/>
                <w:szCs w:val="20"/>
                <w:lang w:val="sk-SK"/>
              </w:rPr>
              <w:t>;</w:t>
            </w:r>
          </w:p>
          <w:p w14:paraId="51B663D1" w14:textId="56782895" w:rsidR="00EC065F" w:rsidRPr="00003795" w:rsidRDefault="00EC065F" w:rsidP="00003795">
            <w:pPr>
              <w:ind w:firstLine="268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pričom </w:t>
            </w:r>
            <w:r w:rsidR="00C12EC7">
              <w:rPr>
                <w:rFonts w:ascii="Calibri Light" w:hAnsi="Calibri Light" w:cs="Calibri Light"/>
                <w:sz w:val="20"/>
                <w:szCs w:val="20"/>
                <w:lang w:val="sk-SK"/>
              </w:rPr>
              <w:t>konečnú výšku úveru stanoví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SIH.</w:t>
            </w:r>
          </w:p>
        </w:tc>
      </w:tr>
      <w:tr w:rsidR="00F26096" w:rsidRPr="003C24F9" w14:paraId="0C841E03" w14:textId="77777777" w:rsidTr="00240F52">
        <w:tc>
          <w:tcPr>
            <w:tcW w:w="1718" w:type="dxa"/>
          </w:tcPr>
          <w:p w14:paraId="354FC5F6" w14:textId="77777777" w:rsidR="00F26096" w:rsidRPr="003C24F9" w:rsidRDefault="00515F0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Spôsob splatenia</w:t>
            </w:r>
          </w:p>
        </w:tc>
        <w:tc>
          <w:tcPr>
            <w:tcW w:w="7972" w:type="dxa"/>
          </w:tcPr>
          <w:p w14:paraId="506A449C" w14:textId="77777777" w:rsidR="00515F02" w:rsidRPr="003C24F9" w:rsidRDefault="00515F02" w:rsidP="00C86E8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Automatickou konverziou:</w:t>
            </w:r>
          </w:p>
          <w:p w14:paraId="17D6F123" w14:textId="5B6DF22E" w:rsidR="00515F02" w:rsidRPr="003C24F9" w:rsidRDefault="008B1F4F" w:rsidP="008B1F4F">
            <w:pPr>
              <w:pStyle w:val="ListParagraph"/>
              <w:numPr>
                <w:ilvl w:val="0"/>
                <w:numId w:val="32"/>
              </w:numPr>
              <w:ind w:left="1342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 nasledujúcom kvalifikovanom investičnom kole (t. j. pri účasti nového nezávislého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koinvestora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s vkladom do spoločnosti minimálne vo výške </w:t>
            </w:r>
            <w:r w:rsidR="00A57453">
              <w:rPr>
                <w:rFonts w:ascii="Calibri Light" w:hAnsi="Calibri Light" w:cs="Calibri Light"/>
                <w:sz w:val="20"/>
                <w:szCs w:val="20"/>
                <w:lang w:val="sk-SK"/>
              </w:rPr>
              <w:t>hodnoty istiny a akumulovaného úroku</w:t>
            </w:r>
            <w:r w:rsidR="00A57453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a pri takej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valuácii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, na základe ktorej </w:t>
            </w:r>
            <w:r w:rsidR="00593AED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nadobudne najviac 49%-ný podiel v </w:t>
            </w:r>
            <w:r w:rsidR="00882AD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), pričom konverzia prebehne so zľavou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0% z pred-investičnej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valuácie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, maximálne však do výšky 20 000 000 EUR a na základe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pari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passu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princípu s novým nezávislým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koinvestorom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  <w:p w14:paraId="2BED84BD" w14:textId="23F0B571" w:rsidR="008B1F4F" w:rsidRDefault="008B1F4F" w:rsidP="008B1F4F">
            <w:pPr>
              <w:pStyle w:val="ListParagraph"/>
              <w:numPr>
                <w:ilvl w:val="0"/>
                <w:numId w:val="32"/>
              </w:numPr>
              <w:ind w:left="1342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 obvyklej likviditnej udalosti za predpokladu likviditnej preferencie vo výške 1.3x násobku </w:t>
            </w:r>
            <w:r w:rsidR="00A57453">
              <w:rPr>
                <w:rFonts w:ascii="Calibri Light" w:hAnsi="Calibri Light" w:cs="Calibri Light"/>
                <w:sz w:val="20"/>
                <w:szCs w:val="20"/>
                <w:lang w:val="sk-SK"/>
              </w:rPr>
              <w:t>hodnoty istiny a akumulovaného úroku</w:t>
            </w:r>
            <w:r w:rsidR="00A57453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(ekvivalent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,0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% zľavy), resp. pro rata rozdelenia v</w:t>
            </w:r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 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príp</w:t>
            </w:r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ade dosiahnutia základného pomeru (</w:t>
            </w:r>
            <w:proofErr w:type="spellStart"/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catch-up</w:t>
            </w:r>
            <w:proofErr w:type="spellEnd"/>
            <w:r w:rsidR="00F317A6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model).</w:t>
            </w:r>
          </w:p>
          <w:p w14:paraId="32627622" w14:textId="065AB585" w:rsidR="00C12EC7" w:rsidRDefault="00C12EC7" w:rsidP="002E2653">
            <w:pPr>
              <w:pStyle w:val="ListParagraph"/>
              <w:ind w:left="1342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60F26783" w14:textId="35D577E6" w:rsidR="00C12EC7" w:rsidRPr="003C24F9" w:rsidRDefault="00C12EC7" w:rsidP="00003795">
            <w:pPr>
              <w:pStyle w:val="ListParagraph"/>
              <w:ind w:left="1342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Likviditná udalosť obvykle znamená predaj spoločnosti (alebo obdobnú transakciu týkajúcu sa kľúčových aktív spoločnosti). Likviditnou preferenciou sa rozumie prednostné právo SIH na vyplatenie výťažku z takejto transakcie vo výšky 1.3x násobku istiny a úroku akumulovaného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ku 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dňu transakcie. Zvyšné prostriedky z výťažku sa následne rozdelia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najprv </w:t>
            </w: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asymetricky medzi zostávajúcich akcionárov tak, aby odzrkadľovali </w:t>
            </w:r>
            <w:r w:rsidR="00F97382">
              <w:rPr>
                <w:rFonts w:ascii="Calibri Light" w:hAnsi="Calibri Light" w:cs="Calibri Light"/>
                <w:sz w:val="20"/>
                <w:szCs w:val="20"/>
                <w:lang w:val="sk-SK"/>
              </w:rPr>
              <w:t>podiel na výťažku, ktorý by akcionárom prináležal v prípade rovnomerného pro-rata rozdelenia (dosiahnutie základného pomeru). Prostriedky prevyšujúce základný pomer sa rozdelia rovnomerne pro-rata medzi všetkých akcionárov.</w:t>
            </w:r>
          </w:p>
          <w:p w14:paraId="651E3341" w14:textId="77777777" w:rsidR="00515F02" w:rsidRPr="003C24F9" w:rsidRDefault="00882AD6" w:rsidP="00882AD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Voliteľnou konverziou:</w:t>
            </w:r>
          </w:p>
          <w:p w14:paraId="4B747690" w14:textId="7655DAC2" w:rsidR="00515F02" w:rsidRDefault="00882AD6" w:rsidP="00C86E87">
            <w:pPr>
              <w:pStyle w:val="ListParagraph"/>
              <w:numPr>
                <w:ilvl w:val="0"/>
                <w:numId w:val="33"/>
              </w:numPr>
              <w:ind w:left="1339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Pri splatnosti úveru po uplatnení opcie SIH na základe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valuácie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vykonanej nezávislou poradenskou spoločnosťou, pričom konverzia prebehne so zľavou 25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0% z pred-investičnej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valuácie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, maximálne však do výšky 20 000 000 EUR.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 základe takejto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valuácie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nadobudne najviac 49%-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ný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podiel v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 V prípade akéhokoľvek podielu presahujúceho 49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0% je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Záujemca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povinný najprv splatiť prislúchajúcu časť konvertibilného úveru, tak aby obchodný podiel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v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Záujemcovi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nepresiahol 49</w:t>
            </w:r>
            <w:r w:rsidR="002172A0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0%.</w:t>
            </w:r>
          </w:p>
          <w:p w14:paraId="5E27C04E" w14:textId="77777777" w:rsidR="002B3B86" w:rsidRDefault="002B3B86" w:rsidP="00003795">
            <w:pPr>
              <w:pStyle w:val="ListParagraph"/>
              <w:ind w:left="1339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09671DB4" w14:textId="37D1CDF5" w:rsidR="00C12EC7" w:rsidRDefault="00C12EC7" w:rsidP="00003795">
            <w:pPr>
              <w:ind w:left="268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Úver sa stáva splatným v prípade absencie automatickej alebo voliteľnej konverzie. Predčasné splatenie úveru nie je možné. </w:t>
            </w:r>
          </w:p>
          <w:p w14:paraId="52A12E90" w14:textId="1BB8537A" w:rsidR="00C12EC7" w:rsidRPr="00003795" w:rsidRDefault="00C12EC7" w:rsidP="00003795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</w:tc>
      </w:tr>
      <w:tr w:rsidR="00240F52" w:rsidRPr="003C24F9" w14:paraId="62B3B7BC" w14:textId="77777777" w:rsidTr="00240F52">
        <w:tc>
          <w:tcPr>
            <w:tcW w:w="1718" w:type="dxa"/>
          </w:tcPr>
          <w:p w14:paraId="43800872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Oprávnený prijímateľ</w:t>
            </w:r>
          </w:p>
        </w:tc>
        <w:tc>
          <w:tcPr>
            <w:tcW w:w="7972" w:type="dxa"/>
          </w:tcPr>
          <w:p w14:paraId="21D0CF76" w14:textId="77777777" w:rsidR="00240F52" w:rsidRPr="003C24F9" w:rsidRDefault="00593AED" w:rsidP="00DB2829">
            <w:pPr>
              <w:pStyle w:val="ListParagraph"/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 zmysle bodu 2.5 Schémy.</w:t>
            </w:r>
          </w:p>
        </w:tc>
      </w:tr>
      <w:tr w:rsidR="00240F52" w:rsidRPr="003C24F9" w14:paraId="12D98019" w14:textId="77777777" w:rsidTr="00240F52">
        <w:tc>
          <w:tcPr>
            <w:tcW w:w="1718" w:type="dxa"/>
          </w:tcPr>
          <w:p w14:paraId="239C8748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Oprávnené výdavky</w:t>
            </w:r>
          </w:p>
        </w:tc>
        <w:tc>
          <w:tcPr>
            <w:tcW w:w="7972" w:type="dxa"/>
          </w:tcPr>
          <w:p w14:paraId="46FEA2C8" w14:textId="77777777" w:rsidR="00240F52" w:rsidRPr="003C24F9" w:rsidRDefault="00593AED" w:rsidP="00C86E87">
            <w:pPr>
              <w:pStyle w:val="ListParagraph"/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Oprávnenými výdavkami </w:t>
            </w:r>
            <w:r w:rsidR="00DB2829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Záujemcov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sú investičné a prevádzkové výdavky, vrátane daňových, colných a odvodových záväzkov Prijímateľov. V záujme vylúčenia pochybností sa uvádza, že z úveru je prijímateľ oprávnený financovať aj neuhradené prevádzkové náklady (nie však investičné náklady), ktoré mu vznikli ešte pred podaním žiadosti o úver, ak ich splatnosť pripadá úplne alebo čiastočne na obdobie od 12. 3. 2020.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br/>
            </w:r>
          </w:p>
          <w:p w14:paraId="31B7B364" w14:textId="77777777" w:rsidR="0050471A" w:rsidRPr="003C24F9" w:rsidRDefault="0050471A" w:rsidP="00C86E87">
            <w:pPr>
              <w:ind w:firstLine="284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Neoprávnenými výdavkami sú:</w:t>
            </w:r>
          </w:p>
          <w:p w14:paraId="6F69C9E8" w14:textId="210B2254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splátky existujúcich úverov a úroky z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 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dlhov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a poskytovanie pôžičiek a úverov;</w:t>
            </w:r>
          </w:p>
          <w:p w14:paraId="4873CD88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investičné náklady, ktoré vznikli pred podaním žiadosti o úver, ak ich splatnosť pripadá úplne alebo čiastočne na obdobie od 12. 3. 2020;</w:t>
            </w:r>
          </w:p>
          <w:p w14:paraId="1DA0A4D0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kúpa nezastavaného a zastavaného pozemku za sumu presahujúcu 10 % celkových oprávnených výdavkov na príslušnú operáciu (investičný zámer). V prípade zanedbaných plôch a plôch, ktoré sa v minulosti používali na priemyselné účely a ktorých súčasťou sú budovy, sa toto obmedzenie zvyšuje na 15 %;</w:t>
            </w:r>
          </w:p>
          <w:p w14:paraId="36DF8133" w14:textId="77777777" w:rsidR="0050471A" w:rsidRPr="003C24F9" w:rsidRDefault="0050471A" w:rsidP="0050471A">
            <w:pPr>
              <w:pStyle w:val="ListParagraph"/>
              <w:numPr>
                <w:ilvl w:val="0"/>
                <w:numId w:val="34"/>
              </w:num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výdavky na nákup vozidiel cestnej nákladnej dopravy podnikom vykonávajúcim cestnú nákladnú dopravu v prenájme alebo za úhradu. </w:t>
            </w:r>
          </w:p>
          <w:p w14:paraId="376C5FDD" w14:textId="77777777" w:rsidR="00DB2829" w:rsidRPr="003C24F9" w:rsidRDefault="00DB2829" w:rsidP="00DB2829">
            <w:pPr>
              <w:ind w:left="208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  <w:p w14:paraId="53A66F0F" w14:textId="77777777" w:rsidR="00DB2829" w:rsidRPr="003C24F9" w:rsidRDefault="00DB2829" w:rsidP="00DB2829">
            <w:pPr>
              <w:ind w:left="208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Neoprávnenými </w:t>
            </w:r>
            <w:r w:rsidR="00D415F5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výdavkami sú tiež projekty v oblastiach:</w:t>
            </w:r>
          </w:p>
          <w:p w14:paraId="32FF811F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odstavenie alebo výstavba jadrových elektrární;</w:t>
            </w:r>
          </w:p>
          <w:p w14:paraId="0F09409B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b)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investície, ktorých cieľom je zníženie emisií skleníkových plynov z činností uvedených v prílohe 1 k smernici 2003/87/ES;</w:t>
            </w:r>
          </w:p>
          <w:p w14:paraId="71003294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c)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výroba, spracovanie a uvádzanie tabaku a tabakových výrobkov na trh;</w:t>
            </w:r>
          </w:p>
          <w:p w14:paraId="2FA1416A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d)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investície do letiskovej infraštruktúry, pokiaľ nesúvisia s ochranou životného prostredia alebo ich nesprevádzajú investície nevyhnutné na zmiernenie alebo zníženie negatívneho vplyvu tejto infraštruktúry na životné prostredie;</w:t>
            </w:r>
          </w:p>
          <w:p w14:paraId="58575DD7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e)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 a distribúcia zbraní a streliva, zbraní a vojenského materiálu;</w:t>
            </w:r>
          </w:p>
          <w:p w14:paraId="2AB7F53F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výroba a distribúcia alkoholických výrobkov;</w:t>
            </w:r>
          </w:p>
          <w:p w14:paraId="6E483A31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g)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spaľovanie odpadu (vrátane paliva získaného z odpadu) a spracovanie toxického odpadu;</w:t>
            </w:r>
          </w:p>
          <w:p w14:paraId="63ED4E81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h)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>hazard a stávkové činnosti;</w:t>
            </w:r>
          </w:p>
          <w:p w14:paraId="21E98980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zadržiavacie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zariadenia, napr. väzenia, policajné stanice, školy s väzenskými funkciami;</w:t>
            </w:r>
          </w:p>
          <w:p w14:paraId="174CB6CA" w14:textId="77777777" w:rsidR="00DB2829" w:rsidRPr="003C24F9" w:rsidRDefault="00DB2829" w:rsidP="00DB2829">
            <w:pPr>
              <w:ind w:left="491" w:hanging="283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j)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ab/>
              <w:t xml:space="preserve">sektory a činnosti so silným etickým rozmerom, ktoré sa považujú za odvetvia so značným </w:t>
            </w:r>
            <w:proofErr w:type="spellStart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reputačným</w:t>
            </w:r>
            <w:proofErr w:type="spellEnd"/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rizikom (napr. pornografia; klonovanie ľudí na účely výskumu alebo terapeutické účely; geneticky modifikované organizmy; atď.).</w:t>
            </w:r>
          </w:p>
          <w:p w14:paraId="750D1B34" w14:textId="77777777" w:rsidR="0050471A" w:rsidRPr="003C24F9" w:rsidRDefault="0050471A" w:rsidP="0050471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</w:p>
        </w:tc>
      </w:tr>
      <w:tr w:rsidR="00240F52" w:rsidRPr="003C24F9" w14:paraId="5E2747B5" w14:textId="77777777" w:rsidTr="00240F52">
        <w:tc>
          <w:tcPr>
            <w:tcW w:w="1718" w:type="dxa"/>
          </w:tcPr>
          <w:p w14:paraId="3D13E944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Obdobie poskytovania </w:t>
            </w:r>
          </w:p>
        </w:tc>
        <w:tc>
          <w:tcPr>
            <w:tcW w:w="7972" w:type="dxa"/>
          </w:tcPr>
          <w:p w14:paraId="3FE8B9A8" w14:textId="77777777" w:rsidR="00240F52" w:rsidRPr="003C24F9" w:rsidRDefault="00D415F5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Do 31.12.2020</w:t>
            </w:r>
          </w:p>
        </w:tc>
      </w:tr>
      <w:tr w:rsidR="00240F52" w:rsidRPr="003C24F9" w14:paraId="299E1EFF" w14:textId="77777777" w:rsidTr="00240F52">
        <w:tc>
          <w:tcPr>
            <w:tcW w:w="1718" w:type="dxa"/>
          </w:tcPr>
          <w:p w14:paraId="23F6D741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Oprávnené regióny</w:t>
            </w:r>
          </w:p>
        </w:tc>
        <w:tc>
          <w:tcPr>
            <w:tcW w:w="7972" w:type="dxa"/>
          </w:tcPr>
          <w:p w14:paraId="4FAC8CB0" w14:textId="77777777" w:rsidR="00240F52" w:rsidRPr="003C24F9" w:rsidRDefault="00240F52" w:rsidP="00240F52">
            <w:pPr>
              <w:ind w:firstLine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Celá SR.</w:t>
            </w:r>
          </w:p>
        </w:tc>
      </w:tr>
      <w:tr w:rsidR="00240F52" w:rsidRPr="003C24F9" w14:paraId="03F6A96E" w14:textId="77777777" w:rsidTr="00240F52">
        <w:tc>
          <w:tcPr>
            <w:tcW w:w="1718" w:type="dxa"/>
          </w:tcPr>
          <w:p w14:paraId="3217D50F" w14:textId="77777777" w:rsidR="00240F52" w:rsidRPr="003C24F9" w:rsidRDefault="00BA12A9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Zabezpečenie úverov</w:t>
            </w:r>
          </w:p>
        </w:tc>
        <w:tc>
          <w:tcPr>
            <w:tcW w:w="7972" w:type="dxa"/>
          </w:tcPr>
          <w:p w14:paraId="575571AC" w14:textId="3F8E10BA" w:rsidR="00240F52" w:rsidRPr="003C24F9" w:rsidRDefault="00BA12A9" w:rsidP="00BA12A9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Konvertibilný úver sa poskytuje prevažne ako nezabezpečený. </w:t>
            </w:r>
            <w:r w:rsidR="007A25B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SIH/NDF II.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môže v odôvodnených prípadoch požadovať</w:t>
            </w:r>
            <w:r w:rsidR="00003795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zabezpečenie konvertibilného úveru.</w:t>
            </w:r>
          </w:p>
        </w:tc>
      </w:tr>
      <w:tr w:rsidR="00240F52" w:rsidRPr="003C24F9" w14:paraId="35502BAE" w14:textId="77777777" w:rsidTr="00240F52">
        <w:tc>
          <w:tcPr>
            <w:tcW w:w="1718" w:type="dxa"/>
          </w:tcPr>
          <w:p w14:paraId="28CEA18D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lastRenderedPageBreak/>
              <w:t>Poplatky súvisiace s úverom</w:t>
            </w:r>
          </w:p>
        </w:tc>
        <w:tc>
          <w:tcPr>
            <w:tcW w:w="7972" w:type="dxa"/>
          </w:tcPr>
          <w:p w14:paraId="1A1867BB" w14:textId="77777777" w:rsidR="00240F52" w:rsidRPr="003C24F9" w:rsidRDefault="00240F52" w:rsidP="00BA12A9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Poplatok za poskytnutie úveru je 0 EUR. </w:t>
            </w:r>
          </w:p>
        </w:tc>
      </w:tr>
      <w:tr w:rsidR="00240F52" w:rsidRPr="003C24F9" w14:paraId="2BA55D52" w14:textId="77777777" w:rsidTr="00240F52">
        <w:tc>
          <w:tcPr>
            <w:tcW w:w="1718" w:type="dxa"/>
          </w:tcPr>
          <w:p w14:paraId="5FA87545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Štátna pomoc</w:t>
            </w:r>
          </w:p>
        </w:tc>
        <w:tc>
          <w:tcPr>
            <w:tcW w:w="7972" w:type="dxa"/>
          </w:tcPr>
          <w:p w14:paraId="5CA7C7B5" w14:textId="77777777" w:rsidR="00240F52" w:rsidRPr="003C24F9" w:rsidRDefault="00BF3757" w:rsidP="00ED2E4E">
            <w:pPr>
              <w:ind w:left="28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Implementácia Finančného nástroja sa bude riadiť </w:t>
            </w:r>
            <w:r w:rsidR="00ED2E4E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„</w:t>
            </w:r>
            <w:r w:rsidR="00ED2E4E" w:rsidRPr="003C24F9">
              <w:rPr>
                <w:rFonts w:ascii="Calibri Light" w:hAnsi="Calibri Light" w:cs="Calibri Light"/>
                <w:i/>
                <w:iCs/>
                <w:sz w:val="20"/>
                <w:szCs w:val="20"/>
                <w:lang w:val="sk-SK"/>
              </w:rPr>
              <w:t xml:space="preserve">Schémou štátnej pomoci na podporu inovatívnych podnikov s obmedzeným prístupom k úverovému financovaniu zdrojmi EŠIF v súvislosti s nákazou COVID-19 – SIH“ 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podľa 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„</w:t>
            </w:r>
            <w:r w:rsidR="00240F52" w:rsidRPr="003C24F9">
              <w:rPr>
                <w:rFonts w:ascii="Calibri Light" w:hAnsi="Calibri Light"/>
                <w:i/>
                <w:sz w:val="20"/>
                <w:lang w:val="sk-SK"/>
              </w:rPr>
              <w:t>Oznámenia Komisie – Dočasný rámec pre opatrenia štátnej pomoci na podporu hospodárstva v súčasnej situácii spôsobenej nákazou COVID-19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“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 v aktuálnom znení</w:t>
            </w:r>
            <w:r w:rsidR="00ED2E4E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.</w:t>
            </w:r>
          </w:p>
        </w:tc>
      </w:tr>
      <w:tr w:rsidR="00ED2E4E" w:rsidRPr="003C24F9" w14:paraId="37A5B57C" w14:textId="77777777" w:rsidTr="00240F52">
        <w:tc>
          <w:tcPr>
            <w:tcW w:w="1718" w:type="dxa"/>
          </w:tcPr>
          <w:p w14:paraId="01F9E238" w14:textId="77777777" w:rsidR="00ED2E4E" w:rsidRPr="003C24F9" w:rsidRDefault="00ED2E4E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Kumulácia</w:t>
            </w:r>
          </w:p>
        </w:tc>
        <w:tc>
          <w:tcPr>
            <w:tcW w:w="7972" w:type="dxa"/>
          </w:tcPr>
          <w:p w14:paraId="6A682022" w14:textId="77777777" w:rsidR="00ED2E4E" w:rsidRPr="003C24F9" w:rsidRDefault="00C86E87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Pomoc podľa tejto schémy sa smie navzájom kumulovať s dočasnými opatreniami pomoci podľa článku 3.1 Dočasného rámca, avšak najviac do celkovej výšky 800 tis. EUR na jeden podnik.</w:t>
            </w:r>
          </w:p>
        </w:tc>
      </w:tr>
      <w:tr w:rsidR="00240F52" w:rsidRPr="003C24F9" w14:paraId="6A573442" w14:textId="77777777" w:rsidTr="00240F52">
        <w:tc>
          <w:tcPr>
            <w:tcW w:w="1718" w:type="dxa"/>
          </w:tcPr>
          <w:p w14:paraId="6B302D90" w14:textId="77777777" w:rsidR="00240F52" w:rsidRPr="003C24F9" w:rsidRDefault="00A32B20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Monitoring </w:t>
            </w:r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a </w:t>
            </w:r>
            <w:proofErr w:type="spellStart"/>
            <w:r w:rsidR="00240F52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972" w:type="dxa"/>
          </w:tcPr>
          <w:p w14:paraId="3250CD26" w14:textId="77777777" w:rsidR="00240F52" w:rsidRPr="003C24F9" w:rsidRDefault="000D221B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Povinnosť predkladať </w:t>
            </w:r>
            <w:r w:rsidR="00392E6F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polročné účtovné výkazy;</w:t>
            </w:r>
          </w:p>
          <w:p w14:paraId="60DAEA91" w14:textId="77777777" w:rsidR="00392E6F" w:rsidRPr="003C24F9" w:rsidRDefault="00392E6F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Povinnosť predkladať rozpočet a jeho plnenie;</w:t>
            </w:r>
          </w:p>
          <w:p w14:paraId="4965AC9E" w14:textId="77777777" w:rsidR="00392E6F" w:rsidRPr="003C24F9" w:rsidRDefault="00392E6F" w:rsidP="001860D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Vedenie záznamov preukazujúcich použitie pomoci na oprávnené účely;</w:t>
            </w:r>
          </w:p>
          <w:p w14:paraId="5C9C1179" w14:textId="77777777" w:rsidR="001E05A4" w:rsidRPr="003C24F9" w:rsidRDefault="00392E6F" w:rsidP="001E05A4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Informácie o naplňovaní povinných merateľných ukazovateľov</w:t>
            </w:r>
            <w:r w:rsidR="001E05A4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, resp. iné regulačné požiadavky EŠIF.</w:t>
            </w:r>
          </w:p>
        </w:tc>
      </w:tr>
      <w:tr w:rsidR="00240F52" w:rsidRPr="003C24F9" w14:paraId="2A80569C" w14:textId="77777777" w:rsidTr="00240F52">
        <w:tc>
          <w:tcPr>
            <w:tcW w:w="1718" w:type="dxa"/>
          </w:tcPr>
          <w:p w14:paraId="2E7CB7FF" w14:textId="77777777" w:rsidR="00240F52" w:rsidRPr="003C24F9" w:rsidRDefault="00240F52" w:rsidP="00AF520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Audit</w:t>
            </w:r>
          </w:p>
        </w:tc>
        <w:tc>
          <w:tcPr>
            <w:tcW w:w="7972" w:type="dxa"/>
          </w:tcPr>
          <w:p w14:paraId="01AB7A52" w14:textId="77777777" w:rsidR="00240F52" w:rsidRPr="003C24F9" w:rsidRDefault="00240F52" w:rsidP="00240F52">
            <w:pPr>
              <w:ind w:left="284"/>
              <w:jc w:val="both"/>
              <w:rPr>
                <w:rFonts w:ascii="Calibri Light" w:hAnsi="Calibri Light" w:cs="Calibri Light"/>
                <w:sz w:val="20"/>
                <w:szCs w:val="20"/>
                <w:lang w:val="sk-SK"/>
              </w:rPr>
            </w:pP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 xml:space="preserve">Oprávnení zástupcovia SIH, Európskej komisie, Európskeho dvora audítorov, národných orgánov auditu a iných poverených inštitúcií môžu vykonávať audit využívania finančných prostriedkov z tohto </w:t>
            </w:r>
            <w:r w:rsidR="00613F19"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F</w:t>
            </w:r>
            <w:r w:rsidRPr="003C24F9">
              <w:rPr>
                <w:rFonts w:ascii="Calibri Light" w:hAnsi="Calibri Light" w:cs="Calibri Light"/>
                <w:sz w:val="20"/>
                <w:szCs w:val="20"/>
                <w:lang w:val="sk-SK"/>
              </w:rPr>
              <w:t>inančného nástroja na všetkých relevantných úrovniach.</w:t>
            </w:r>
          </w:p>
        </w:tc>
      </w:tr>
    </w:tbl>
    <w:p w14:paraId="188768B5" w14:textId="77777777" w:rsidR="00F46D18" w:rsidRPr="003C24F9" w:rsidRDefault="00F46D18">
      <w:pPr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br w:type="page"/>
      </w:r>
    </w:p>
    <w:p w14:paraId="1DC89D8E" w14:textId="77777777" w:rsidR="00F46D18" w:rsidRPr="003C24F9" w:rsidRDefault="00F46D18" w:rsidP="00F46D18">
      <w:pPr>
        <w:pStyle w:val="ListParagraph"/>
        <w:numPr>
          <w:ilvl w:val="3"/>
          <w:numId w:val="1"/>
        </w:numPr>
        <w:spacing w:after="240" w:line="360" w:lineRule="auto"/>
        <w:ind w:left="426" w:hanging="425"/>
        <w:rPr>
          <w:rFonts w:asciiTheme="majorHAnsi" w:hAnsiTheme="majorHAnsi"/>
          <w:b/>
          <w:sz w:val="20"/>
          <w:szCs w:val="20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lastRenderedPageBreak/>
        <w:t>Prílohy:</w:t>
      </w:r>
    </w:p>
    <w:p w14:paraId="34511419" w14:textId="77777777" w:rsidR="00F46D18" w:rsidRPr="003C24F9" w:rsidRDefault="00F46D18" w:rsidP="00F46D18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t xml:space="preserve">Príloha </w:t>
      </w:r>
      <w:r w:rsidR="00BA551F" w:rsidRPr="003C24F9">
        <w:rPr>
          <w:rFonts w:asciiTheme="majorHAnsi" w:hAnsiTheme="majorHAnsi"/>
          <w:sz w:val="20"/>
          <w:szCs w:val="20"/>
        </w:rPr>
        <w:t xml:space="preserve">č. </w:t>
      </w:r>
      <w:r w:rsidRPr="003C24F9">
        <w:rPr>
          <w:rFonts w:asciiTheme="majorHAnsi" w:hAnsiTheme="majorHAnsi"/>
          <w:sz w:val="20"/>
          <w:szCs w:val="20"/>
        </w:rPr>
        <w:t>1</w:t>
      </w:r>
      <w:r w:rsidRPr="003C24F9">
        <w:rPr>
          <w:rFonts w:asciiTheme="majorHAnsi" w:hAnsiTheme="majorHAnsi"/>
          <w:sz w:val="20"/>
          <w:szCs w:val="20"/>
        </w:rPr>
        <w:tab/>
        <w:t>Formulár na vyjadrenie záujmu a identifikáciu Záujemcu</w:t>
      </w:r>
    </w:p>
    <w:p w14:paraId="257CCFD0" w14:textId="77777777" w:rsidR="003C24F9" w:rsidRPr="003C24F9" w:rsidRDefault="00F46D18" w:rsidP="00F46D18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t xml:space="preserve">Príloha </w:t>
      </w:r>
      <w:r w:rsidR="00BA551F" w:rsidRPr="003C24F9">
        <w:rPr>
          <w:rFonts w:asciiTheme="majorHAnsi" w:hAnsiTheme="majorHAnsi"/>
          <w:sz w:val="20"/>
          <w:szCs w:val="20"/>
        </w:rPr>
        <w:t xml:space="preserve">č. </w:t>
      </w:r>
      <w:r w:rsidRPr="003C24F9">
        <w:rPr>
          <w:rFonts w:asciiTheme="majorHAnsi" w:hAnsiTheme="majorHAnsi"/>
          <w:sz w:val="20"/>
          <w:szCs w:val="20"/>
        </w:rPr>
        <w:t xml:space="preserve">2 </w:t>
      </w:r>
      <w:r w:rsidRPr="003C24F9">
        <w:rPr>
          <w:rFonts w:asciiTheme="majorHAnsi" w:hAnsiTheme="majorHAnsi"/>
          <w:sz w:val="20"/>
          <w:szCs w:val="20"/>
        </w:rPr>
        <w:tab/>
        <w:t>Hodnotiaci formulár inovatívnosti</w:t>
      </w:r>
    </w:p>
    <w:p w14:paraId="403D120A" w14:textId="77777777" w:rsidR="006A53AA" w:rsidRPr="003C24F9" w:rsidRDefault="006A53AA">
      <w:pPr>
        <w:rPr>
          <w:rFonts w:asciiTheme="majorHAnsi" w:hAnsiTheme="majorHAnsi"/>
          <w:b/>
          <w:sz w:val="24"/>
          <w:lang w:val="sk-SK"/>
        </w:rPr>
      </w:pPr>
      <w:r w:rsidRPr="003C24F9">
        <w:rPr>
          <w:rFonts w:asciiTheme="majorHAnsi" w:hAnsiTheme="majorHAnsi"/>
          <w:b/>
          <w:sz w:val="24"/>
          <w:lang w:val="sk-SK"/>
        </w:rPr>
        <w:br w:type="page"/>
      </w:r>
    </w:p>
    <w:p w14:paraId="01E9DB4F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jc w:val="left"/>
        <w:rPr>
          <w:rFonts w:asciiTheme="majorHAnsi" w:hAnsiTheme="majorHAnsi"/>
          <w:b/>
          <w:sz w:val="24"/>
          <w:szCs w:val="24"/>
        </w:rPr>
      </w:pPr>
      <w:r w:rsidRPr="003C24F9">
        <w:rPr>
          <w:rFonts w:asciiTheme="majorHAnsi" w:hAnsiTheme="majorHAnsi"/>
          <w:b/>
          <w:sz w:val="24"/>
          <w:szCs w:val="24"/>
        </w:rPr>
        <w:lastRenderedPageBreak/>
        <w:t xml:space="preserve">Príloha </w:t>
      </w:r>
      <w:r w:rsidR="00BA551F" w:rsidRPr="003C24F9">
        <w:rPr>
          <w:rFonts w:asciiTheme="majorHAnsi" w:hAnsiTheme="majorHAnsi"/>
          <w:b/>
          <w:sz w:val="24"/>
          <w:szCs w:val="24"/>
        </w:rPr>
        <w:t xml:space="preserve">č. </w:t>
      </w:r>
      <w:r w:rsidRPr="003C24F9">
        <w:rPr>
          <w:rFonts w:asciiTheme="majorHAnsi" w:hAnsiTheme="majorHAnsi"/>
          <w:b/>
          <w:sz w:val="24"/>
          <w:szCs w:val="24"/>
        </w:rPr>
        <w:t xml:space="preserve">1 </w:t>
      </w:r>
    </w:p>
    <w:p w14:paraId="038F18BB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</w:p>
    <w:p w14:paraId="23B465CD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  <w:r w:rsidRPr="003C24F9">
        <w:rPr>
          <w:rFonts w:asciiTheme="majorHAnsi" w:hAnsiTheme="majorHAnsi"/>
          <w:b/>
          <w:sz w:val="24"/>
          <w:szCs w:val="24"/>
        </w:rPr>
        <w:t>FORMULÁR NA VYJADRENIE ZÁUJMU A IDENTIFIKÁCIU ZÁUJEMCU</w:t>
      </w:r>
    </w:p>
    <w:p w14:paraId="5AB225DB" w14:textId="77777777" w:rsidR="008D3FFF" w:rsidRPr="003C24F9" w:rsidRDefault="008D3FFF" w:rsidP="008D3FFF">
      <w:pPr>
        <w:pStyle w:val="Nzovtabuky0"/>
        <w:shd w:val="clear" w:color="auto" w:fill="auto"/>
        <w:spacing w:after="42" w:line="210" w:lineRule="exact"/>
        <w:rPr>
          <w:rFonts w:asciiTheme="majorHAnsi" w:hAnsiTheme="majorHAnsi"/>
          <w:b/>
          <w:sz w:val="24"/>
          <w:szCs w:val="24"/>
        </w:rPr>
      </w:pPr>
    </w:p>
    <w:p w14:paraId="7F631C95" w14:textId="77777777" w:rsidR="008D3FFF" w:rsidRPr="003C24F9" w:rsidRDefault="008D3FFF" w:rsidP="008D3FFF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>Identifikácia Záujemcu</w:t>
      </w:r>
    </w:p>
    <w:p w14:paraId="184C765E" w14:textId="77777777" w:rsidR="008D3FFF" w:rsidRPr="003C24F9" w:rsidRDefault="008D3FFF" w:rsidP="008D3FFF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sz w:val="20"/>
          <w:szCs w:val="20"/>
        </w:rPr>
      </w:pPr>
    </w:p>
    <w:tbl>
      <w:tblPr>
        <w:tblOverlap w:val="never"/>
        <w:tblW w:w="9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3946"/>
        <w:gridCol w:w="3542"/>
      </w:tblGrid>
      <w:tr w:rsidR="008D3FFF" w:rsidRPr="003C24F9" w14:paraId="7BE44E12" w14:textId="77777777" w:rsidTr="008D1B1E">
        <w:trPr>
          <w:trHeight w:hRule="exact" w:val="3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BFE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NÁZOV ZÁUJEMCU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CCE6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12607349" w14:textId="77777777" w:rsidTr="008D1B1E">
        <w:trPr>
          <w:trHeight w:hRule="exact" w:val="79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036E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KONTAKTNÉ ÚDAJE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32F5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Adresa:</w:t>
            </w:r>
          </w:p>
          <w:p w14:paraId="3E33A9FC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Telefón:</w:t>
            </w:r>
          </w:p>
          <w:p w14:paraId="5F0D0AB4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</w:tr>
      <w:tr w:rsidR="008D3FFF" w:rsidRPr="003C24F9" w14:paraId="1B86787C" w14:textId="77777777" w:rsidTr="008D1B1E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36D78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PRÁVNA FORMA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660A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10EF7040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8E14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OBCHODNÝ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0510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Označenie registra:</w:t>
            </w:r>
          </w:p>
        </w:tc>
        <w:tc>
          <w:tcPr>
            <w:tcW w:w="3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09E6FE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5F50B3A1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1EFC9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REGISTER, ATĎ. -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48D61F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Dátum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424B56E0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68F885F7" w14:textId="77777777" w:rsidTr="008D1B1E">
        <w:trPr>
          <w:trHeight w:hRule="exact" w:val="283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0802AD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 xml:space="preserve">ÚDAJE O 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B82DB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Krajina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0DB80DDD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2CBC3548" w14:textId="77777777" w:rsidTr="008D1B1E">
        <w:trPr>
          <w:trHeight w:hRule="exact" w:val="269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834CA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REGISTRÁCII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DFDFB" w14:textId="116FBC55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Registračné číslo</w:t>
            </w:r>
            <w:r w:rsidR="00021E15">
              <w:rPr>
                <w:rFonts w:asciiTheme="majorHAnsi" w:hAnsiTheme="majorHAnsi"/>
                <w:sz w:val="20"/>
                <w:szCs w:val="20"/>
              </w:rPr>
              <w:t xml:space="preserve"> (IČO)</w:t>
            </w:r>
            <w:r w:rsidRPr="003C24F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3C6F" w14:textId="77777777" w:rsidR="008D3FFF" w:rsidRPr="003C24F9" w:rsidRDefault="008D3FFF" w:rsidP="00BD4AC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</w:tbl>
    <w:p w14:paraId="4B54E585" w14:textId="77777777" w:rsidR="008D3FFF" w:rsidRPr="003C24F9" w:rsidRDefault="008D3FFF" w:rsidP="008D3FFF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12F5FB68" w14:textId="77777777" w:rsidR="008D3FFF" w:rsidRPr="003C24F9" w:rsidRDefault="008D3FFF" w:rsidP="008D3FFF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 xml:space="preserve">Kontaktná osoba </w:t>
      </w:r>
    </w:p>
    <w:p w14:paraId="01BA8154" w14:textId="77777777" w:rsidR="008D3FFF" w:rsidRPr="003C24F9" w:rsidRDefault="008D3FFF" w:rsidP="008D3FFF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469"/>
      </w:tblGrid>
      <w:tr w:rsidR="008D3FFF" w:rsidRPr="003C24F9" w14:paraId="523D2480" w14:textId="77777777" w:rsidTr="008D1B1E">
        <w:trPr>
          <w:trHeight w:hRule="exact" w:val="32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01DFF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OSLOVENIE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BF7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Pán/pani/iné (vymazať alebo doplniť podľa vhodnosti)</w:t>
            </w:r>
          </w:p>
        </w:tc>
      </w:tr>
      <w:tr w:rsidR="008D3FFF" w:rsidRPr="003C24F9" w14:paraId="7DEE21B8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E2E7A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MENO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A7FB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Priezvisko:</w:t>
            </w:r>
          </w:p>
        </w:tc>
      </w:tr>
      <w:tr w:rsidR="008D3FFF" w:rsidRPr="003C24F9" w14:paraId="1C2F14A6" w14:textId="77777777" w:rsidTr="008D1B1E">
        <w:trPr>
          <w:trHeight w:hRule="exact" w:val="288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0925F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0A2C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Krstné meno (mená):</w:t>
            </w:r>
          </w:p>
        </w:tc>
      </w:tr>
      <w:tr w:rsidR="008D3FFF" w:rsidRPr="003C24F9" w14:paraId="09C5E8F5" w14:textId="77777777" w:rsidTr="008D1B1E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7F5E7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FUNKCIA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7156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D3FFF" w:rsidRPr="003C24F9" w14:paraId="670AA98C" w14:textId="77777777" w:rsidTr="008D1B1E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A40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KONTAKTNÉ ÚDAJE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2351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Adresa:</w:t>
            </w:r>
          </w:p>
        </w:tc>
      </w:tr>
      <w:tr w:rsidR="008D3FFF" w:rsidRPr="003C24F9" w14:paraId="22A313EF" w14:textId="77777777" w:rsidTr="008D1B1E">
        <w:trPr>
          <w:trHeight w:hRule="exact" w:val="317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1758DF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23E6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Telefón:</w:t>
            </w:r>
          </w:p>
        </w:tc>
      </w:tr>
      <w:tr w:rsidR="008D3FFF" w:rsidRPr="003C24F9" w14:paraId="05128CCE" w14:textId="77777777" w:rsidTr="008D1B1E">
        <w:trPr>
          <w:trHeight w:hRule="exact" w:val="274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08872" w14:textId="77777777" w:rsidR="008D3FFF" w:rsidRPr="003C24F9" w:rsidRDefault="008D3FFF" w:rsidP="008D1B1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6855" w14:textId="77777777" w:rsidR="008D3FFF" w:rsidRPr="003C24F9" w:rsidRDefault="008D3FFF" w:rsidP="008D1B1E">
            <w:pPr>
              <w:pStyle w:val="Zkladntext20"/>
              <w:shd w:val="clear" w:color="auto" w:fill="auto"/>
              <w:spacing w:after="0" w:line="240" w:lineRule="auto"/>
              <w:ind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</w:tr>
    </w:tbl>
    <w:p w14:paraId="33B05B22" w14:textId="77777777" w:rsidR="008D3FFF" w:rsidRPr="003C24F9" w:rsidRDefault="008D3FFF" w:rsidP="008D3FFF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0FA4E5D8" w14:textId="77777777" w:rsidR="008D1B1E" w:rsidRPr="003C24F9" w:rsidRDefault="00404283" w:rsidP="008D1B1E">
      <w:pPr>
        <w:pStyle w:val="Nzovtabuky0"/>
        <w:numPr>
          <w:ilvl w:val="1"/>
          <w:numId w:val="3"/>
        </w:numPr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b/>
          <w:sz w:val="20"/>
          <w:szCs w:val="20"/>
        </w:rPr>
        <w:t>Požadovaná výška úveru</w:t>
      </w:r>
    </w:p>
    <w:p w14:paraId="441255AD" w14:textId="77777777" w:rsidR="001B558B" w:rsidRPr="003C24F9" w:rsidRDefault="001B558B" w:rsidP="001B558B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hAnsiTheme="majorHAnsi"/>
          <w:sz w:val="20"/>
          <w:szCs w:val="20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362"/>
        <w:gridCol w:w="473"/>
        <w:gridCol w:w="2835"/>
      </w:tblGrid>
      <w:tr w:rsidR="004E37DE" w:rsidRPr="004E37DE" w14:paraId="0C7EA685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F42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Údaj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2F8D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Tržby v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 </w:t>
            </w: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EUR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D0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Osobné náklady v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 </w:t>
            </w: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EUR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2</w:t>
            </w:r>
          </w:p>
        </w:tc>
      </w:tr>
      <w:tr w:rsidR="004E37DE" w:rsidRPr="004E37DE" w14:paraId="04E05807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FDA7" w14:textId="0D490685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Hodnota za </w:t>
            </w:r>
            <w:r w:rsidR="005905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účtovn</w:t>
            </w:r>
            <w:r w:rsidR="005905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é</w:t>
            </w:r>
            <w:r w:rsidR="005905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</w:t>
            </w:r>
            <w:r w:rsidR="00003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obdobie</w:t>
            </w: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87D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81C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091C8F1D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D75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Násobok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1BBA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1x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737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2x</w:t>
            </w:r>
          </w:p>
        </w:tc>
      </w:tr>
      <w:tr w:rsidR="004E37DE" w:rsidRPr="004E37DE" w14:paraId="3B8792A9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EC1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Indikatívna výška úveru na základe roku 2019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3D3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AF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3BDF7157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613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8815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E06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067489F1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330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Hodnota za rok 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DFB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49BC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1D47855F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175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Uvedená hodnota je za: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41B" w14:textId="77777777" w:rsidR="004E37DE" w:rsidRPr="00827E45" w:rsidRDefault="00827E45" w:rsidP="00827E4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827E4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</w:t>
            </w:r>
            <w:r w:rsidR="004E37DE" w:rsidRPr="00827E4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Kvartál / Mesiac </w:t>
            </w:r>
            <w:r w:rsidR="00B94D91" w:rsidRPr="00827E4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Február</w:t>
            </w:r>
            <w:r w:rsidR="00E10FCB" w:rsidRPr="00827E4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</w:t>
            </w:r>
            <w:r w:rsidR="00E10FCB" w:rsidRPr="00827E4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val="sk-SK"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480B" w14:textId="77777777" w:rsidR="004E37DE" w:rsidRPr="004E37DE" w:rsidRDefault="00827E45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1. </w:t>
            </w:r>
            <w:r w:rsidR="004E37DE"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Kvartál / Mesiac </w:t>
            </w:r>
            <w:r w:rsidR="00B94D9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Február</w:t>
            </w:r>
            <w:r w:rsidR="00E10FCB" w:rsidRPr="003C24F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 </w:t>
            </w:r>
            <w:r w:rsidR="00E10FCB" w:rsidRPr="003C24F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val="sk-SK" w:eastAsia="en-GB"/>
              </w:rPr>
              <w:t>3</w:t>
            </w:r>
          </w:p>
        </w:tc>
      </w:tr>
      <w:tr w:rsidR="004E37DE" w:rsidRPr="004E37DE" w14:paraId="691870AB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49E7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Prevod na ročnú bázu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0C30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4x / 12x </w:t>
            </w:r>
            <w:r w:rsidR="00E10FCB" w:rsidRPr="003C24F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val="sk-SK"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9582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 xml:space="preserve">4x / 12x </w:t>
            </w:r>
            <w:r w:rsidR="00E10FCB" w:rsidRPr="003C24F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val="sk-SK" w:eastAsia="en-GB"/>
              </w:rPr>
              <w:t>3</w:t>
            </w:r>
          </w:p>
        </w:tc>
      </w:tr>
      <w:tr w:rsidR="004E37DE" w:rsidRPr="004E37DE" w14:paraId="4A30F702" w14:textId="77777777" w:rsidTr="00E10FCB">
        <w:trPr>
          <w:trHeight w:val="28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528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Násobok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518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1x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356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sk-SK" w:eastAsia="en-GB"/>
              </w:rPr>
              <w:t>2x</w:t>
            </w:r>
          </w:p>
        </w:tc>
      </w:tr>
      <w:tr w:rsidR="004E37DE" w:rsidRPr="004E37DE" w14:paraId="6AD3BBAB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D7A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Indikatívna výška úveru na základe roku 2020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4CA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957" w14:textId="77777777" w:rsidR="004E37DE" w:rsidRPr="004E37DE" w:rsidRDefault="004E37DE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75E7A7DA" w14:textId="77777777" w:rsidTr="00E10FCB">
        <w:trPr>
          <w:trHeight w:val="28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90BF" w14:textId="77777777" w:rsidR="004E37DE" w:rsidRPr="004E37DE" w:rsidRDefault="004E37DE" w:rsidP="00E10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k-SK" w:eastAsia="en-GB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284" w14:textId="77777777" w:rsidR="004E37DE" w:rsidRPr="004E37DE" w:rsidRDefault="004E37DE" w:rsidP="004E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en-GB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F7B5" w14:textId="77777777" w:rsidR="004E37DE" w:rsidRPr="004E37DE" w:rsidRDefault="004E37DE" w:rsidP="004E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en-GB"/>
              </w:rPr>
            </w:pPr>
          </w:p>
        </w:tc>
      </w:tr>
      <w:tr w:rsidR="004E37DE" w:rsidRPr="004E37DE" w14:paraId="71654019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52E0" w14:textId="77777777" w:rsidR="004E37DE" w:rsidRPr="004E37DE" w:rsidRDefault="004E37DE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k-SK" w:eastAsia="en-GB"/>
              </w:rPr>
            </w:pPr>
            <w:r w:rsidRPr="004E37D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Najvyššia dosiahnutá indikatívna výška úveru</w:t>
            </w:r>
            <w:r w:rsidR="00E10FCB"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sk-SK" w:eastAsia="en-GB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3ECD" w14:textId="77777777" w:rsidR="004E37DE" w:rsidRPr="004E37DE" w:rsidRDefault="00827E45" w:rsidP="00E10F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k-SK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...</w:t>
            </w:r>
          </w:p>
        </w:tc>
      </w:tr>
      <w:tr w:rsidR="001B558B" w:rsidRPr="003C24F9" w14:paraId="05EF447D" w14:textId="77777777" w:rsidTr="00E10FCB">
        <w:trPr>
          <w:trHeight w:val="3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8E236" w14:textId="77777777" w:rsidR="001B558B" w:rsidRPr="003C24F9" w:rsidRDefault="001B558B" w:rsidP="00E10F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</w:pPr>
            <w:r w:rsidRPr="003C24F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Požadovaná splatnosť úveru</w:t>
            </w:r>
            <w:r w:rsidR="00827E4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 xml:space="preserve"> v mesiacoch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1771" w14:textId="77777777" w:rsidR="001B558B" w:rsidRPr="00827E45" w:rsidRDefault="00827E45" w:rsidP="00E10F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k-SK" w:eastAsia="en-GB"/>
              </w:rPr>
            </w:pPr>
            <w:r w:rsidRPr="00827E4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sk-SK" w:eastAsia="en-GB"/>
              </w:rPr>
              <w:t>18 až 36 mesiacov</w:t>
            </w:r>
          </w:p>
        </w:tc>
      </w:tr>
    </w:tbl>
    <w:p w14:paraId="47231B65" w14:textId="77777777" w:rsidR="008D3FFF" w:rsidRPr="003C24F9" w:rsidRDefault="00E10FCB" w:rsidP="001B558B">
      <w:pPr>
        <w:spacing w:before="120" w:after="0" w:line="240" w:lineRule="exact"/>
        <w:ind w:left="284" w:hanging="284"/>
        <w:rPr>
          <w:rFonts w:asciiTheme="majorHAnsi" w:eastAsia="Times New Roman" w:hAnsiTheme="majorHAnsi" w:cstheme="majorHAnsi"/>
          <w:color w:val="000000"/>
          <w:sz w:val="16"/>
          <w:szCs w:val="16"/>
          <w:lang w:val="sk-SK" w:eastAsia="en-GB"/>
        </w:rPr>
      </w:pPr>
      <w:r w:rsidRPr="003C24F9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en-GB"/>
        </w:rPr>
        <w:t>1</w:t>
      </w:r>
      <w:r w:rsidR="003474A7" w:rsidRPr="003C24F9">
        <w:rPr>
          <w:rFonts w:asciiTheme="majorHAnsi" w:eastAsia="Times New Roman" w:hAnsiTheme="majorHAnsi" w:cstheme="majorHAnsi"/>
          <w:color w:val="000000"/>
          <w:sz w:val="20"/>
          <w:szCs w:val="20"/>
          <w:lang w:val="sk-SK" w:eastAsia="en-GB"/>
        </w:rPr>
        <w:tab/>
      </w:r>
      <w:r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Zvyčajne tržby z predaja vlastných výrobkov (účet 601), predaja služieb (účet 602, 606) alebo tovaru (účet 604, 607)</w:t>
      </w:r>
      <w:r w:rsidR="003F3EAD"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;</w:t>
      </w:r>
    </w:p>
    <w:p w14:paraId="28DEBD12" w14:textId="77777777" w:rsidR="008C3B6E" w:rsidRPr="003C24F9" w:rsidRDefault="00E10FCB" w:rsidP="008C3B6E">
      <w:pPr>
        <w:pStyle w:val="ListParagraph"/>
        <w:numPr>
          <w:ilvl w:val="0"/>
          <w:numId w:val="3"/>
        </w:numPr>
        <w:spacing w:after="0" w:line="240" w:lineRule="exact"/>
        <w:ind w:left="284" w:hanging="284"/>
        <w:contextualSpacing w:val="0"/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</w:pPr>
      <w:r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Celkové osobné náklady (skupina účtov 52X)</w:t>
      </w:r>
      <w:r w:rsidR="008C3B6E" w:rsidRPr="003C24F9">
        <w:rPr>
          <w:rFonts w:asciiTheme="majorHAnsi" w:eastAsia="Times New Roman" w:hAnsiTheme="majorHAnsi" w:cstheme="majorHAnsi"/>
          <w:color w:val="000000"/>
          <w:sz w:val="18"/>
          <w:szCs w:val="18"/>
          <w:lang w:val="sk-SK" w:eastAsia="en-GB"/>
        </w:rPr>
        <w:t>;</w:t>
      </w:r>
    </w:p>
    <w:p w14:paraId="04082B0B" w14:textId="77777777" w:rsidR="00E10FCB" w:rsidRPr="003C24F9" w:rsidRDefault="001B558B" w:rsidP="001B558B">
      <w:pPr>
        <w:pStyle w:val="ListParagraph"/>
        <w:numPr>
          <w:ilvl w:val="0"/>
          <w:numId w:val="3"/>
        </w:numPr>
        <w:spacing w:after="0" w:line="240" w:lineRule="exact"/>
        <w:ind w:left="284" w:hanging="284"/>
        <w:contextualSpacing w:val="0"/>
        <w:rPr>
          <w:rFonts w:asciiTheme="majorHAnsi" w:hAnsiTheme="majorHAnsi"/>
          <w:sz w:val="18"/>
          <w:szCs w:val="18"/>
          <w:lang w:val="sk-SK"/>
        </w:rPr>
      </w:pPr>
      <w:r w:rsidRPr="003C24F9">
        <w:rPr>
          <w:rFonts w:asciiTheme="majorHAnsi" w:hAnsiTheme="majorHAnsi"/>
          <w:sz w:val="18"/>
          <w:szCs w:val="18"/>
          <w:lang w:val="sk-SK"/>
        </w:rPr>
        <w:t>Nehodiace sa odstrániť</w:t>
      </w:r>
      <w:r w:rsidR="003F3EAD" w:rsidRPr="003C24F9">
        <w:rPr>
          <w:rFonts w:asciiTheme="majorHAnsi" w:hAnsiTheme="majorHAnsi"/>
          <w:sz w:val="18"/>
          <w:szCs w:val="18"/>
          <w:lang w:val="sk-SK"/>
        </w:rPr>
        <w:t>;</w:t>
      </w:r>
    </w:p>
    <w:p w14:paraId="4867EDC2" w14:textId="27D56C5F" w:rsidR="008D1B1E" w:rsidRPr="003C24F9" w:rsidRDefault="008C3B6E" w:rsidP="001B558B">
      <w:pPr>
        <w:pStyle w:val="ListParagraph"/>
        <w:numPr>
          <w:ilvl w:val="0"/>
          <w:numId w:val="3"/>
        </w:numPr>
        <w:spacing w:after="0" w:line="240" w:lineRule="exact"/>
        <w:ind w:left="284" w:hanging="284"/>
        <w:contextualSpacing w:val="0"/>
        <w:rPr>
          <w:rFonts w:asciiTheme="majorHAnsi" w:hAnsiTheme="majorHAnsi"/>
          <w:sz w:val="20"/>
          <w:szCs w:val="20"/>
          <w:lang w:val="sk-SK"/>
        </w:rPr>
      </w:pPr>
      <w:r w:rsidRPr="003C24F9">
        <w:rPr>
          <w:rFonts w:asciiTheme="majorHAnsi" w:hAnsiTheme="majorHAnsi"/>
          <w:sz w:val="18"/>
          <w:szCs w:val="18"/>
          <w:lang w:val="sk-SK"/>
        </w:rPr>
        <w:t>Uviesť n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>ajvyšši</w:t>
      </w:r>
      <w:r w:rsidRPr="003C24F9">
        <w:rPr>
          <w:rFonts w:asciiTheme="majorHAnsi" w:hAnsiTheme="majorHAnsi"/>
          <w:sz w:val="18"/>
          <w:szCs w:val="18"/>
          <w:lang w:val="sk-SK"/>
        </w:rPr>
        <w:t>u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 xml:space="preserve"> dosiahnut</w:t>
      </w:r>
      <w:r w:rsidRPr="003C24F9">
        <w:rPr>
          <w:rFonts w:asciiTheme="majorHAnsi" w:hAnsiTheme="majorHAnsi"/>
          <w:sz w:val="18"/>
          <w:szCs w:val="18"/>
          <w:lang w:val="sk-SK"/>
        </w:rPr>
        <w:t>ú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>hodnot</w:t>
      </w:r>
      <w:r w:rsidR="00021E15">
        <w:rPr>
          <w:rFonts w:asciiTheme="majorHAnsi" w:hAnsiTheme="majorHAnsi"/>
          <w:sz w:val="18"/>
          <w:szCs w:val="18"/>
          <w:lang w:val="sk-SK"/>
        </w:rPr>
        <w:t>u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Pr="003C24F9">
        <w:rPr>
          <w:rFonts w:asciiTheme="majorHAnsi" w:hAnsiTheme="majorHAnsi"/>
          <w:sz w:val="18"/>
          <w:szCs w:val="18"/>
          <w:lang w:val="sk-SK"/>
        </w:rPr>
        <w:t xml:space="preserve">za </w:t>
      </w:r>
      <w:r w:rsidR="00021E15">
        <w:rPr>
          <w:rFonts w:asciiTheme="majorHAnsi" w:hAnsiTheme="majorHAnsi"/>
          <w:sz w:val="18"/>
          <w:szCs w:val="18"/>
          <w:lang w:val="sk-SK"/>
        </w:rPr>
        <w:t>účtovné obdobie</w:t>
      </w:r>
      <w:r w:rsidR="00021E15" w:rsidRPr="003C24F9">
        <w:rPr>
          <w:rFonts w:asciiTheme="majorHAnsi" w:hAnsiTheme="majorHAnsi"/>
          <w:sz w:val="18"/>
          <w:szCs w:val="18"/>
          <w:lang w:val="sk-SK"/>
        </w:rPr>
        <w:t xml:space="preserve"> </w:t>
      </w:r>
      <w:r w:rsidRPr="003C24F9">
        <w:rPr>
          <w:rFonts w:asciiTheme="majorHAnsi" w:hAnsiTheme="majorHAnsi"/>
          <w:sz w:val="18"/>
          <w:szCs w:val="18"/>
          <w:lang w:val="sk-SK"/>
        </w:rPr>
        <w:t xml:space="preserve">2019 alebo </w:t>
      </w:r>
      <w:r w:rsidR="00021E15">
        <w:rPr>
          <w:rFonts w:asciiTheme="majorHAnsi" w:hAnsiTheme="majorHAnsi"/>
          <w:sz w:val="18"/>
          <w:szCs w:val="18"/>
          <w:lang w:val="sk-SK"/>
        </w:rPr>
        <w:t xml:space="preserve">príslušné obdobie roka </w:t>
      </w:r>
      <w:r w:rsidRPr="003C24F9">
        <w:rPr>
          <w:rFonts w:asciiTheme="majorHAnsi" w:hAnsiTheme="majorHAnsi"/>
          <w:sz w:val="18"/>
          <w:szCs w:val="18"/>
          <w:lang w:val="sk-SK"/>
        </w:rPr>
        <w:t>2020</w:t>
      </w:r>
      <w:r w:rsidR="001B558B" w:rsidRPr="003C24F9">
        <w:rPr>
          <w:rFonts w:asciiTheme="majorHAnsi" w:hAnsiTheme="majorHAnsi"/>
          <w:sz w:val="18"/>
          <w:szCs w:val="18"/>
          <w:lang w:val="sk-SK"/>
        </w:rPr>
        <w:t>, maximálne však do výšky 645,000 EUR v prípade záujmu o 36-mesačnú splatnosť a 714,000 EUR v prípade záujmu o 18-mesačnú splatnosť, v každom prípade však najmenej 200,000 EUR.</w:t>
      </w:r>
    </w:p>
    <w:p w14:paraId="5618FE1F" w14:textId="77777777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</w:p>
    <w:p w14:paraId="17D9D284" w14:textId="77777777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b/>
          <w:bCs/>
          <w:sz w:val="20"/>
          <w:szCs w:val="20"/>
        </w:rPr>
      </w:pPr>
      <w:r w:rsidRPr="003C24F9">
        <w:rPr>
          <w:rFonts w:asciiTheme="majorHAnsi" w:hAnsiTheme="majorHAnsi"/>
          <w:b/>
          <w:bCs/>
          <w:sz w:val="20"/>
          <w:szCs w:val="20"/>
        </w:rPr>
        <w:t xml:space="preserve">Vyššie uvedené údaje je potrebné podložiť relevantnými </w:t>
      </w:r>
      <w:r w:rsidR="008C3B6E" w:rsidRPr="003C24F9">
        <w:rPr>
          <w:rFonts w:asciiTheme="majorHAnsi" w:hAnsiTheme="majorHAnsi"/>
          <w:b/>
          <w:bCs/>
          <w:sz w:val="20"/>
          <w:szCs w:val="20"/>
        </w:rPr>
        <w:t>finančnými</w:t>
      </w:r>
      <w:r w:rsidRPr="003C24F9">
        <w:rPr>
          <w:rFonts w:asciiTheme="majorHAnsi" w:hAnsiTheme="majorHAnsi"/>
          <w:b/>
          <w:bCs/>
          <w:sz w:val="20"/>
          <w:szCs w:val="20"/>
        </w:rPr>
        <w:t xml:space="preserve"> výkazmi, ktoré je potrebné zaslať spolu s Prílohou č.1</w:t>
      </w:r>
      <w:r w:rsidR="008C3B6E" w:rsidRPr="003C24F9">
        <w:rPr>
          <w:rFonts w:asciiTheme="majorHAnsi" w:hAnsiTheme="majorHAnsi"/>
          <w:b/>
          <w:bCs/>
          <w:sz w:val="20"/>
          <w:szCs w:val="20"/>
        </w:rPr>
        <w:t>.</w:t>
      </w:r>
      <w:r w:rsidRPr="003C24F9">
        <w:rPr>
          <w:rFonts w:asciiTheme="majorHAnsi" w:hAnsiTheme="majorHAnsi"/>
          <w:b/>
          <w:bCs/>
          <w:sz w:val="20"/>
          <w:szCs w:val="20"/>
        </w:rPr>
        <w:t xml:space="preserve"> Tieto výkazy budú tiež predmetom kontroly v rámci Hodnotiaceho procesu.</w:t>
      </w:r>
    </w:p>
    <w:p w14:paraId="1A6DD0F8" w14:textId="77777777" w:rsidR="008D1B1E" w:rsidRPr="003C24F9" w:rsidRDefault="008D1B1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</w:p>
    <w:p w14:paraId="01F68AB9" w14:textId="77777777" w:rsidR="005B278E" w:rsidRPr="003C24F9" w:rsidRDefault="005B278E" w:rsidP="008D1B1E">
      <w:pPr>
        <w:pStyle w:val="Nzovtabuky0"/>
        <w:shd w:val="clear" w:color="auto" w:fill="auto"/>
        <w:tabs>
          <w:tab w:val="left" w:leader="underscore" w:pos="9619"/>
        </w:tabs>
        <w:spacing w:after="0" w:line="210" w:lineRule="exact"/>
        <w:jc w:val="both"/>
        <w:rPr>
          <w:rFonts w:asciiTheme="majorHAnsi" w:hAnsiTheme="majorHAnsi"/>
          <w:sz w:val="20"/>
          <w:szCs w:val="20"/>
        </w:rPr>
      </w:pPr>
      <w:r w:rsidRPr="003C24F9">
        <w:rPr>
          <w:rFonts w:asciiTheme="majorHAnsi" w:hAnsiTheme="majorHAnsi"/>
          <w:sz w:val="20"/>
          <w:szCs w:val="20"/>
        </w:rPr>
        <w:br w:type="page"/>
      </w:r>
    </w:p>
    <w:p w14:paraId="6A347967" w14:textId="77777777" w:rsidR="001B558B" w:rsidRPr="003C24F9" w:rsidRDefault="005B278E" w:rsidP="005B278E">
      <w:pPr>
        <w:spacing w:after="0" w:line="240" w:lineRule="exact"/>
        <w:rPr>
          <w:rFonts w:asciiTheme="majorHAnsi" w:hAnsiTheme="majorHAnsi"/>
          <w:b/>
          <w:sz w:val="24"/>
          <w:szCs w:val="24"/>
          <w:lang w:val="sk-SK"/>
        </w:rPr>
      </w:pPr>
      <w:r w:rsidRPr="003C24F9">
        <w:rPr>
          <w:rFonts w:asciiTheme="majorHAnsi" w:hAnsiTheme="majorHAnsi"/>
          <w:b/>
          <w:sz w:val="24"/>
          <w:szCs w:val="24"/>
          <w:lang w:val="sk-SK"/>
        </w:rPr>
        <w:lastRenderedPageBreak/>
        <w:t xml:space="preserve">Príloha </w:t>
      </w:r>
      <w:r w:rsidR="00BA551F" w:rsidRPr="003C24F9">
        <w:rPr>
          <w:rFonts w:asciiTheme="majorHAnsi" w:hAnsiTheme="majorHAnsi"/>
          <w:b/>
          <w:sz w:val="24"/>
          <w:szCs w:val="24"/>
          <w:lang w:val="sk-SK"/>
        </w:rPr>
        <w:t xml:space="preserve">č. </w:t>
      </w:r>
      <w:r w:rsidRPr="003C24F9">
        <w:rPr>
          <w:rFonts w:asciiTheme="majorHAnsi" w:hAnsiTheme="majorHAnsi"/>
          <w:b/>
          <w:sz w:val="24"/>
          <w:szCs w:val="24"/>
          <w:lang w:val="sk-SK"/>
        </w:rPr>
        <w:t>2</w:t>
      </w:r>
    </w:p>
    <w:p w14:paraId="7A2245F9" w14:textId="77777777" w:rsidR="005B278E" w:rsidRPr="003C24F9" w:rsidRDefault="005B278E" w:rsidP="005B278E">
      <w:pPr>
        <w:spacing w:after="0" w:line="240" w:lineRule="exact"/>
        <w:rPr>
          <w:rFonts w:asciiTheme="majorHAnsi" w:hAnsiTheme="majorHAnsi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5B278E" w:rsidRPr="003C24F9" w14:paraId="3BAB41D4" w14:textId="77777777" w:rsidTr="00F760C1">
        <w:trPr>
          <w:tblHeader/>
        </w:trPr>
        <w:tc>
          <w:tcPr>
            <w:tcW w:w="7508" w:type="dxa"/>
          </w:tcPr>
          <w:p w14:paraId="74074434" w14:textId="77777777" w:rsidR="005B278E" w:rsidRPr="003C24F9" w:rsidRDefault="000715FF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Oblasť</w:t>
            </w:r>
          </w:p>
        </w:tc>
        <w:tc>
          <w:tcPr>
            <w:tcW w:w="1508" w:type="dxa"/>
          </w:tcPr>
          <w:p w14:paraId="55D085D6" w14:textId="77777777" w:rsidR="005B278E" w:rsidRPr="003C24F9" w:rsidRDefault="005B278E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  <w:tr w:rsidR="0025767C" w:rsidRPr="003C24F9" w14:paraId="619B9B2C" w14:textId="77777777" w:rsidTr="003D7FD3">
        <w:trPr>
          <w:trHeight w:val="4535"/>
        </w:trPr>
        <w:tc>
          <w:tcPr>
            <w:tcW w:w="7508" w:type="dxa"/>
          </w:tcPr>
          <w:p w14:paraId="608495B6" w14:textId="3BFF7D6F" w:rsidR="002B3B86" w:rsidRDefault="00972958" w:rsidP="002B3B86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25767C" w:rsidRPr="003C24F9">
              <w:rPr>
                <w:rFonts w:asciiTheme="majorHAnsi" w:hAnsiTheme="majorHAnsi"/>
                <w:sz w:val="20"/>
                <w:szCs w:val="20"/>
              </w:rPr>
              <w:t>opis produktu alebo služby vrátane zdôvodnenia, prečo je produkt alebo služba lepšia alebo výrazne lepšia v porovnaní s dostupnými alternatívami (ak existujú) na základe výhodnejšej ceny alebo užívateľskej hodnoty, jednoduchosti používania alebo iných relevantných aspektov, vrátane posúdenia možného prospechu v oblastiach klimatickej zmeny, životného prostredia, rodovej rovnosti alebo iného celospoločenského prínosu.</w:t>
            </w:r>
          </w:p>
          <w:p w14:paraId="17DEC47A" w14:textId="2448900B" w:rsidR="002B3B86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ECAB77D" w14:textId="26ADB434" w:rsidR="002B3B86" w:rsidRPr="00590532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  <w:p w14:paraId="5137A777" w14:textId="77777777" w:rsidR="002B3B86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340928C0" w14:textId="1A83E6BD" w:rsidR="002B3B86" w:rsidRPr="002B3B86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E6D1335" w14:textId="77777777" w:rsidR="0025767C" w:rsidRPr="003C24F9" w:rsidRDefault="0025767C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Váha – 20%</w:t>
            </w:r>
          </w:p>
          <w:p w14:paraId="1986C0B5" w14:textId="77777777" w:rsidR="0025767C" w:rsidRPr="003C24F9" w:rsidRDefault="0025767C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Počet bodov – 5</w:t>
            </w:r>
          </w:p>
        </w:tc>
      </w:tr>
      <w:tr w:rsidR="0025767C" w:rsidRPr="003C24F9" w14:paraId="4477693F" w14:textId="77777777" w:rsidTr="00F760C1">
        <w:trPr>
          <w:trHeight w:val="1134"/>
        </w:trPr>
        <w:tc>
          <w:tcPr>
            <w:tcW w:w="7508" w:type="dxa"/>
          </w:tcPr>
          <w:p w14:paraId="299CC266" w14:textId="77777777" w:rsidR="0025767C" w:rsidRPr="003C24F9" w:rsidRDefault="0025767C" w:rsidP="0025767C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Komentár hodnotiteľa</w:t>
            </w:r>
          </w:p>
        </w:tc>
        <w:tc>
          <w:tcPr>
            <w:tcW w:w="1508" w:type="dxa"/>
          </w:tcPr>
          <w:p w14:paraId="7DDA8D9B" w14:textId="77777777" w:rsidR="0025767C" w:rsidRPr="003C24F9" w:rsidRDefault="0025767C" w:rsidP="00E10FCB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</w:tbl>
    <w:p w14:paraId="340D6C21" w14:textId="77777777" w:rsidR="008D3FFF" w:rsidRPr="003C24F9" w:rsidRDefault="008D3FFF" w:rsidP="00E10FCB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rFonts w:asciiTheme="majorHAnsi" w:hAnsiTheme="majorHAnsi"/>
          <w:sz w:val="20"/>
          <w:szCs w:val="20"/>
        </w:rPr>
      </w:pPr>
    </w:p>
    <w:p w14:paraId="01FA0A74" w14:textId="745A61E5" w:rsidR="002B3B86" w:rsidRDefault="002B3B86">
      <w:pPr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F760C1" w:rsidRPr="003C24F9" w14:paraId="0D5810EB" w14:textId="77777777" w:rsidTr="00886BE9">
        <w:trPr>
          <w:tblHeader/>
        </w:trPr>
        <w:tc>
          <w:tcPr>
            <w:tcW w:w="7508" w:type="dxa"/>
          </w:tcPr>
          <w:p w14:paraId="706FBD29" w14:textId="77777777" w:rsidR="00F760C1" w:rsidRPr="003C24F9" w:rsidRDefault="00F760C1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Oblasť</w:t>
            </w:r>
          </w:p>
        </w:tc>
        <w:tc>
          <w:tcPr>
            <w:tcW w:w="1508" w:type="dxa"/>
          </w:tcPr>
          <w:p w14:paraId="09B8B082" w14:textId="77777777" w:rsidR="00F760C1" w:rsidRPr="003C24F9" w:rsidRDefault="00F760C1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  <w:tr w:rsidR="008C24D2" w:rsidRPr="003C24F9" w14:paraId="4684FFC1" w14:textId="77777777" w:rsidTr="00886BE9">
        <w:trPr>
          <w:trHeight w:val="4932"/>
        </w:trPr>
        <w:tc>
          <w:tcPr>
            <w:tcW w:w="7508" w:type="dxa"/>
          </w:tcPr>
          <w:p w14:paraId="3E27A9B5" w14:textId="77777777" w:rsidR="008C24D2" w:rsidRDefault="008C24D2" w:rsidP="008C24D2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Popis aktuálneho štádia stavu produktu alebo služby s ohľadom na ďalší vývoj a možnosti uplatnenia na trhu, popis potrebných míľnikov, harmonogram a odhadované náklady.</w:t>
            </w:r>
          </w:p>
          <w:p w14:paraId="1B5EE574" w14:textId="77777777" w:rsidR="002B3B86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61EE31FD" w14:textId="77777777" w:rsidR="002B3B86" w:rsidRPr="00BA0442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A044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  <w:p w14:paraId="068DC8DD" w14:textId="5694892A" w:rsidR="002B3B86" w:rsidRPr="003C24F9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85F7053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Váha – 20%</w:t>
            </w:r>
          </w:p>
          <w:p w14:paraId="5064CFCE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Počet bodov – 5</w:t>
            </w:r>
          </w:p>
        </w:tc>
      </w:tr>
      <w:tr w:rsidR="0025767C" w:rsidRPr="003C24F9" w14:paraId="5E5FF465" w14:textId="77777777" w:rsidTr="00886BE9">
        <w:trPr>
          <w:trHeight w:val="1134"/>
        </w:trPr>
        <w:tc>
          <w:tcPr>
            <w:tcW w:w="7508" w:type="dxa"/>
          </w:tcPr>
          <w:p w14:paraId="77547ADB" w14:textId="77777777" w:rsidR="0025767C" w:rsidRPr="003C24F9" w:rsidRDefault="0025767C" w:rsidP="0025767C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Komentár hodnotiteľa</w:t>
            </w:r>
          </w:p>
        </w:tc>
        <w:tc>
          <w:tcPr>
            <w:tcW w:w="1508" w:type="dxa"/>
          </w:tcPr>
          <w:p w14:paraId="7EFA2B66" w14:textId="77777777" w:rsidR="0025767C" w:rsidRPr="003C24F9" w:rsidRDefault="0025767C" w:rsidP="0025767C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</w:tbl>
    <w:p w14:paraId="222FA8C6" w14:textId="4885AB1A" w:rsidR="002B3B86" w:rsidRDefault="002B3B86" w:rsidP="00E10FCB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rFonts w:asciiTheme="majorHAnsi" w:hAnsiTheme="majorHAnsi"/>
          <w:sz w:val="20"/>
          <w:szCs w:val="20"/>
        </w:rPr>
      </w:pPr>
    </w:p>
    <w:p w14:paraId="4B01D9F0" w14:textId="77777777" w:rsidR="002B3B86" w:rsidRDefault="002B3B86">
      <w:pPr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3D7FD3" w:rsidRPr="003C24F9" w14:paraId="5168148F" w14:textId="77777777" w:rsidTr="00886BE9">
        <w:trPr>
          <w:tblHeader/>
        </w:trPr>
        <w:tc>
          <w:tcPr>
            <w:tcW w:w="7508" w:type="dxa"/>
          </w:tcPr>
          <w:p w14:paraId="196A84DB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Oblasť</w:t>
            </w:r>
          </w:p>
        </w:tc>
        <w:tc>
          <w:tcPr>
            <w:tcW w:w="1508" w:type="dxa"/>
          </w:tcPr>
          <w:p w14:paraId="26777FA1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  <w:tr w:rsidR="008C24D2" w:rsidRPr="003C24F9" w14:paraId="271E9E1B" w14:textId="77777777" w:rsidTr="00886BE9">
        <w:trPr>
          <w:trHeight w:val="4932"/>
        </w:trPr>
        <w:tc>
          <w:tcPr>
            <w:tcW w:w="7508" w:type="dxa"/>
          </w:tcPr>
          <w:p w14:paraId="1B8FFCEE" w14:textId="77777777" w:rsidR="008C24D2" w:rsidRDefault="008C24D2" w:rsidP="008C24D2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Popis súčasného a budúceho trhového potenciálu (vrátane kvantifikácie), identifikácia hlavných rastových trendov, príležitostí a možnosť ich využitia.</w:t>
            </w:r>
          </w:p>
          <w:p w14:paraId="420ABC39" w14:textId="77777777" w:rsidR="002B3B86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1B1B9ABD" w14:textId="77777777" w:rsidR="002B3B86" w:rsidRPr="00BA0442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A044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  <w:p w14:paraId="20E9A052" w14:textId="6F559A3B" w:rsidR="002B3B86" w:rsidRPr="003C24F9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DB8329F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Váha – 20%</w:t>
            </w:r>
          </w:p>
          <w:p w14:paraId="5E7AC684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Počet bodov – 5</w:t>
            </w:r>
          </w:p>
        </w:tc>
      </w:tr>
      <w:tr w:rsidR="0025767C" w:rsidRPr="003C24F9" w14:paraId="785D794A" w14:textId="77777777" w:rsidTr="00886BE9">
        <w:trPr>
          <w:trHeight w:val="1134"/>
        </w:trPr>
        <w:tc>
          <w:tcPr>
            <w:tcW w:w="7508" w:type="dxa"/>
          </w:tcPr>
          <w:p w14:paraId="5CA437B7" w14:textId="77777777" w:rsidR="0025767C" w:rsidRPr="003C24F9" w:rsidRDefault="0025767C" w:rsidP="0025767C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Komentár hodnotiteľa</w:t>
            </w:r>
          </w:p>
        </w:tc>
        <w:tc>
          <w:tcPr>
            <w:tcW w:w="1508" w:type="dxa"/>
          </w:tcPr>
          <w:p w14:paraId="22FA5361" w14:textId="77777777" w:rsidR="0025767C" w:rsidRPr="003C24F9" w:rsidRDefault="0025767C" w:rsidP="0025767C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</w:tbl>
    <w:p w14:paraId="35030FE8" w14:textId="0A063FF7" w:rsidR="002B3B86" w:rsidRDefault="002B3B86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CD096E9" w14:textId="77777777" w:rsidR="002B3B86" w:rsidRDefault="002B3B86">
      <w:pPr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3D7FD3" w:rsidRPr="003C24F9" w14:paraId="43907627" w14:textId="77777777" w:rsidTr="00886BE9">
        <w:trPr>
          <w:tblHeader/>
        </w:trPr>
        <w:tc>
          <w:tcPr>
            <w:tcW w:w="7508" w:type="dxa"/>
          </w:tcPr>
          <w:p w14:paraId="51861338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Oblasť</w:t>
            </w:r>
          </w:p>
        </w:tc>
        <w:tc>
          <w:tcPr>
            <w:tcW w:w="1508" w:type="dxa"/>
          </w:tcPr>
          <w:p w14:paraId="1F9C2051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  <w:tr w:rsidR="008C24D2" w:rsidRPr="003C24F9" w14:paraId="1F33E8C0" w14:textId="77777777" w:rsidTr="00886BE9">
        <w:trPr>
          <w:trHeight w:val="4932"/>
        </w:trPr>
        <w:tc>
          <w:tcPr>
            <w:tcW w:w="7508" w:type="dxa"/>
          </w:tcPr>
          <w:p w14:paraId="769B7112" w14:textId="5BAE30AE" w:rsidR="008C24D2" w:rsidRDefault="008C24D2" w:rsidP="008C24D2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 xml:space="preserve">Popis business modelu, trhovej stratégie (go to </w:t>
            </w:r>
            <w:proofErr w:type="spellStart"/>
            <w:r w:rsidRPr="003C24F9">
              <w:rPr>
                <w:rFonts w:asciiTheme="majorHAnsi" w:hAnsiTheme="majorHAnsi"/>
                <w:sz w:val="20"/>
                <w:szCs w:val="20"/>
              </w:rPr>
              <w:t>market</w:t>
            </w:r>
            <w:proofErr w:type="spellEnd"/>
            <w:r w:rsidRPr="003C24F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C24F9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spellEnd"/>
            <w:r w:rsidRPr="003C24F9">
              <w:rPr>
                <w:rFonts w:asciiTheme="majorHAnsi" w:hAnsiTheme="majorHAnsi"/>
                <w:sz w:val="20"/>
                <w:szCs w:val="20"/>
              </w:rPr>
              <w:t>), zákazníkov, distribučných kanálov a schopnosti produkt alebo služby škálovať z pohľadu spoločnosti.</w:t>
            </w:r>
          </w:p>
          <w:p w14:paraId="448E65BE" w14:textId="77777777" w:rsidR="002B3B86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ind w:left="454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7C284E3E" w14:textId="77777777" w:rsidR="002B3B86" w:rsidRPr="00BA0442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A044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  <w:p w14:paraId="18118EE3" w14:textId="043B6B99" w:rsidR="002B3B86" w:rsidRPr="003C24F9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4A35056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Váha – 20%</w:t>
            </w:r>
          </w:p>
          <w:p w14:paraId="384DE416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Počet bodov – 5</w:t>
            </w:r>
          </w:p>
        </w:tc>
      </w:tr>
      <w:tr w:rsidR="0025767C" w:rsidRPr="003C24F9" w14:paraId="03F71689" w14:textId="77777777" w:rsidTr="00886BE9">
        <w:trPr>
          <w:trHeight w:val="1134"/>
        </w:trPr>
        <w:tc>
          <w:tcPr>
            <w:tcW w:w="7508" w:type="dxa"/>
          </w:tcPr>
          <w:p w14:paraId="2574CF8A" w14:textId="77777777" w:rsidR="0025767C" w:rsidRPr="003C24F9" w:rsidRDefault="0025767C" w:rsidP="0025767C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Komentár hodnotiteľa</w:t>
            </w:r>
          </w:p>
        </w:tc>
        <w:tc>
          <w:tcPr>
            <w:tcW w:w="1508" w:type="dxa"/>
          </w:tcPr>
          <w:p w14:paraId="0D4AA70B" w14:textId="77777777" w:rsidR="0025767C" w:rsidRPr="003C24F9" w:rsidRDefault="0025767C" w:rsidP="0025767C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</w:tbl>
    <w:p w14:paraId="39282876" w14:textId="54927195" w:rsidR="002B3B86" w:rsidRDefault="002B3B86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111C4B88" w14:textId="77777777" w:rsidR="002B3B86" w:rsidRDefault="002B3B86">
      <w:pPr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3D7FD3" w:rsidRPr="003C24F9" w14:paraId="2ED6ACCD" w14:textId="77777777" w:rsidTr="00886BE9">
        <w:trPr>
          <w:tblHeader/>
        </w:trPr>
        <w:tc>
          <w:tcPr>
            <w:tcW w:w="7508" w:type="dxa"/>
          </w:tcPr>
          <w:p w14:paraId="5BD6F17A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Oblasť</w:t>
            </w:r>
          </w:p>
        </w:tc>
        <w:tc>
          <w:tcPr>
            <w:tcW w:w="1508" w:type="dxa"/>
          </w:tcPr>
          <w:p w14:paraId="5FFAAD49" w14:textId="77777777" w:rsidR="003D7FD3" w:rsidRPr="003C24F9" w:rsidRDefault="003D7FD3" w:rsidP="00886BE9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  <w:tr w:rsidR="008C24D2" w:rsidRPr="003C24F9" w14:paraId="35F6912C" w14:textId="77777777" w:rsidTr="00886BE9">
        <w:trPr>
          <w:trHeight w:val="4932"/>
        </w:trPr>
        <w:tc>
          <w:tcPr>
            <w:tcW w:w="7508" w:type="dxa"/>
          </w:tcPr>
          <w:p w14:paraId="6B5A1447" w14:textId="77777777" w:rsidR="008C24D2" w:rsidRDefault="008C24D2" w:rsidP="008C24D2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Predstavenie tímu spoločnosti a popis ich technických a manažérskych skúseností potrebných na realizáciu business plánu v realistickom časovom horizonte. V prípade chýbajúcich kompetencií v niektorej z kľúčových oblastí spôsob ich zabezpečenia.</w:t>
            </w:r>
          </w:p>
          <w:p w14:paraId="5439FF77" w14:textId="77777777" w:rsidR="002B3B86" w:rsidRDefault="002B3B86" w:rsidP="002B3B86">
            <w:pPr>
              <w:pStyle w:val="Zkladntext50"/>
              <w:shd w:val="clear" w:color="auto" w:fill="auto"/>
              <w:spacing w:before="0" w:after="0" w:line="240" w:lineRule="auto"/>
              <w:ind w:left="454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7CB001CC" w14:textId="1A9952DF" w:rsidR="002B3B86" w:rsidRPr="00590532" w:rsidRDefault="002B3B86" w:rsidP="00590532">
            <w:pPr>
              <w:pStyle w:val="Zkladntext50"/>
              <w:shd w:val="clear" w:color="auto" w:fill="auto"/>
              <w:spacing w:before="0" w:after="0" w:line="240" w:lineRule="auto"/>
              <w:ind w:firstLine="449"/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A0442">
              <w:rPr>
                <w:rFonts w:asciiTheme="majorHAnsi" w:hAnsiTheme="majorHAnsi"/>
                <w:color w:val="FF0000"/>
                <w:sz w:val="20"/>
                <w:szCs w:val="20"/>
              </w:rPr>
              <w:t>[rozsah odpovede maximálne 1x A4]</w:t>
            </w:r>
          </w:p>
        </w:tc>
        <w:tc>
          <w:tcPr>
            <w:tcW w:w="1508" w:type="dxa"/>
          </w:tcPr>
          <w:p w14:paraId="0741DA56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Váha – 20%</w:t>
            </w:r>
          </w:p>
          <w:p w14:paraId="0461C606" w14:textId="77777777" w:rsidR="008C24D2" w:rsidRPr="003C24F9" w:rsidRDefault="008C24D2" w:rsidP="008C24D2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sz w:val="20"/>
                <w:szCs w:val="20"/>
              </w:rPr>
              <w:t>Počet bodov – 5</w:t>
            </w:r>
          </w:p>
        </w:tc>
      </w:tr>
      <w:tr w:rsidR="0025767C" w:rsidRPr="003C24F9" w14:paraId="504CEBA2" w14:textId="77777777" w:rsidTr="00886BE9">
        <w:trPr>
          <w:trHeight w:val="1134"/>
        </w:trPr>
        <w:tc>
          <w:tcPr>
            <w:tcW w:w="7508" w:type="dxa"/>
          </w:tcPr>
          <w:p w14:paraId="4F2C1947" w14:textId="77777777" w:rsidR="0025767C" w:rsidRPr="003C24F9" w:rsidRDefault="0025767C" w:rsidP="0025767C">
            <w:pPr>
              <w:pStyle w:val="Zkladntext5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454" w:hanging="28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Komentár hodnotiteľa</w:t>
            </w:r>
          </w:p>
        </w:tc>
        <w:tc>
          <w:tcPr>
            <w:tcW w:w="1508" w:type="dxa"/>
          </w:tcPr>
          <w:p w14:paraId="69D29FE4" w14:textId="77777777" w:rsidR="0025767C" w:rsidRPr="003C24F9" w:rsidRDefault="0025767C" w:rsidP="0025767C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C24F9">
              <w:rPr>
                <w:rFonts w:asciiTheme="majorHAnsi" w:hAnsiTheme="majorHAnsi"/>
                <w:b/>
                <w:bCs/>
                <w:sz w:val="20"/>
                <w:szCs w:val="20"/>
              </w:rPr>
              <w:t>Hodnotenie</w:t>
            </w:r>
          </w:p>
        </w:tc>
      </w:tr>
    </w:tbl>
    <w:p w14:paraId="31F87EB8" w14:textId="77777777" w:rsidR="003D7FD3" w:rsidRPr="003C24F9" w:rsidRDefault="003D7FD3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5221CA8" w14:textId="77777777" w:rsidR="008D3FFF" w:rsidRDefault="008D3FFF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8B21B45" w14:textId="77777777" w:rsidR="009E654A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 w:rsidRPr="009E654A">
        <w:rPr>
          <w:rFonts w:asciiTheme="majorHAnsi" w:hAnsiTheme="majorHAnsi"/>
          <w:b/>
          <w:bCs/>
          <w:sz w:val="20"/>
          <w:szCs w:val="20"/>
        </w:rPr>
        <w:t>Prílohy</w:t>
      </w:r>
      <w:r>
        <w:rPr>
          <w:rFonts w:asciiTheme="majorHAnsi" w:hAnsiTheme="majorHAnsi"/>
          <w:sz w:val="20"/>
          <w:szCs w:val="20"/>
        </w:rPr>
        <w:t>:</w:t>
      </w:r>
    </w:p>
    <w:p w14:paraId="53CCEF6C" w14:textId="50739F47" w:rsidR="009E654A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Záujemca </w:t>
      </w:r>
      <w:r w:rsidR="00BA3FA3">
        <w:rPr>
          <w:rFonts w:asciiTheme="majorHAnsi" w:hAnsiTheme="majorHAnsi"/>
          <w:sz w:val="20"/>
          <w:szCs w:val="20"/>
        </w:rPr>
        <w:t>priloží k formuláru nasledovné dokumenty:</w:t>
      </w:r>
    </w:p>
    <w:p w14:paraId="4098A6FD" w14:textId="3B4B1D24" w:rsidR="00AA4E77" w:rsidRDefault="00AA4E77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67"/>
        <w:gridCol w:w="7172"/>
        <w:gridCol w:w="1531"/>
      </w:tblGrid>
      <w:tr w:rsidR="00D672DD" w14:paraId="6EC4204D" w14:textId="77777777" w:rsidTr="00D672DD">
        <w:tc>
          <w:tcPr>
            <w:tcW w:w="367" w:type="dxa"/>
          </w:tcPr>
          <w:p w14:paraId="1B6ADDAC" w14:textId="4ADD7689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7172" w:type="dxa"/>
          </w:tcPr>
          <w:p w14:paraId="260B1E49" w14:textId="465DE6C5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Dokument</w:t>
            </w:r>
          </w:p>
        </w:tc>
        <w:tc>
          <w:tcPr>
            <w:tcW w:w="1531" w:type="dxa"/>
          </w:tcPr>
          <w:p w14:paraId="1395A413" w14:textId="04FC79AD" w:rsidR="00D672DD" w:rsidRPr="00590532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Formát</w:t>
            </w:r>
          </w:p>
        </w:tc>
      </w:tr>
      <w:tr w:rsidR="00D672DD" w14:paraId="71F7353C" w14:textId="77777777" w:rsidTr="00D672DD">
        <w:tc>
          <w:tcPr>
            <w:tcW w:w="367" w:type="dxa"/>
          </w:tcPr>
          <w:p w14:paraId="40DB5420" w14:textId="43A0867F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172" w:type="dxa"/>
          </w:tcPr>
          <w:p w14:paraId="75181B09" w14:textId="5CB4F05F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Pitch</w:t>
            </w:r>
            <w:proofErr w:type="spellEnd"/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deck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/ predstavenie spoločnosti</w:t>
            </w:r>
          </w:p>
        </w:tc>
        <w:tc>
          <w:tcPr>
            <w:tcW w:w="1531" w:type="dxa"/>
          </w:tcPr>
          <w:p w14:paraId="38D22C38" w14:textId="79059F8C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Pdf</w:t>
            </w:r>
            <w:proofErr w:type="spellEnd"/>
          </w:p>
        </w:tc>
      </w:tr>
      <w:tr w:rsidR="00D672DD" w14:paraId="0FEE3B43" w14:textId="77777777" w:rsidTr="00590532">
        <w:tc>
          <w:tcPr>
            <w:tcW w:w="367" w:type="dxa"/>
          </w:tcPr>
          <w:p w14:paraId="0CC754F3" w14:textId="1431798A" w:rsidR="00D672DD" w:rsidRDefault="00D672DD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7172" w:type="dxa"/>
          </w:tcPr>
          <w:p w14:paraId="5612A965" w14:textId="6E1BE4EC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Podnikateľský plán</w:t>
            </w:r>
            <w:r w:rsidRPr="00FB64FF">
              <w:rPr>
                <w:rFonts w:asciiTheme="majorHAnsi" w:hAnsiTheme="majorHAnsi"/>
                <w:sz w:val="20"/>
                <w:szCs w:val="20"/>
              </w:rPr>
              <w:t xml:space="preserve">, obsahujúci identifikáciu </w:t>
            </w:r>
            <w:proofErr w:type="spellStart"/>
            <w:r w:rsidRPr="00FB64FF">
              <w:rPr>
                <w:rFonts w:asciiTheme="majorHAnsi" w:hAnsiTheme="majorHAnsi"/>
                <w:sz w:val="20"/>
                <w:szCs w:val="20"/>
              </w:rPr>
              <w:t>KPI's</w:t>
            </w:r>
            <w:proofErr w:type="spellEnd"/>
            <w:r w:rsidRPr="00FB64FF">
              <w:rPr>
                <w:rFonts w:asciiTheme="majorHAnsi" w:hAnsiTheme="majorHAnsi"/>
                <w:sz w:val="20"/>
                <w:szCs w:val="20"/>
              </w:rPr>
              <w:t xml:space="preserve"> a projekciu výnosov, nákladov, kapitálových výdavkov, peňažných tokov a financovania s ohľadom plánované investičné kolá / splnené míľniky, vrátane historických období </w:t>
            </w:r>
            <w:proofErr w:type="spellStart"/>
            <w:r w:rsidRPr="00FB64FF">
              <w:rPr>
                <w:rFonts w:asciiTheme="majorHAnsi" w:hAnsiTheme="majorHAnsi"/>
                <w:sz w:val="20"/>
                <w:szCs w:val="20"/>
              </w:rPr>
              <w:t>odsúhlasiteľných</w:t>
            </w:r>
            <w:proofErr w:type="spellEnd"/>
            <w:r w:rsidRPr="00FB64FF">
              <w:rPr>
                <w:rFonts w:asciiTheme="majorHAnsi" w:hAnsiTheme="majorHAnsi"/>
                <w:sz w:val="20"/>
                <w:szCs w:val="20"/>
              </w:rPr>
              <w:t xml:space="preserve"> na finančné výkazy.</w:t>
            </w:r>
          </w:p>
        </w:tc>
        <w:tc>
          <w:tcPr>
            <w:tcW w:w="1531" w:type="dxa"/>
          </w:tcPr>
          <w:p w14:paraId="24F96D99" w14:textId="62512161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Xlsx</w:t>
            </w:r>
            <w:proofErr w:type="spellEnd"/>
          </w:p>
        </w:tc>
      </w:tr>
      <w:tr w:rsidR="00D672DD" w14:paraId="2AF2BB01" w14:textId="77777777" w:rsidTr="00590532">
        <w:tc>
          <w:tcPr>
            <w:tcW w:w="367" w:type="dxa"/>
          </w:tcPr>
          <w:p w14:paraId="0E576935" w14:textId="2D237E10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7172" w:type="dxa"/>
          </w:tcPr>
          <w:p w14:paraId="4A6BD68B" w14:textId="327903A9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Aktuálne a historické finančné výsledky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/ výkazy (ak nie sú priamo súčasťou podnikateľského plánu).</w:t>
            </w:r>
          </w:p>
        </w:tc>
        <w:tc>
          <w:tcPr>
            <w:tcW w:w="1531" w:type="dxa"/>
          </w:tcPr>
          <w:p w14:paraId="2612667E" w14:textId="2F8DD4A9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Xlsx</w:t>
            </w:r>
            <w:proofErr w:type="spellEnd"/>
          </w:p>
        </w:tc>
      </w:tr>
      <w:tr w:rsidR="00D672DD" w14:paraId="1BC72E32" w14:textId="77777777" w:rsidTr="00590532">
        <w:tc>
          <w:tcPr>
            <w:tcW w:w="367" w:type="dxa"/>
          </w:tcPr>
          <w:p w14:paraId="6310F48A" w14:textId="7B1FD41A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7172" w:type="dxa"/>
          </w:tcPr>
          <w:p w14:paraId="1C822D79" w14:textId="7703DAF4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90532">
              <w:rPr>
                <w:rFonts w:asciiTheme="majorHAnsi" w:hAnsiTheme="majorHAnsi"/>
                <w:b/>
                <w:bCs/>
                <w:sz w:val="20"/>
                <w:szCs w:val="20"/>
              </w:rPr>
              <w:t>CV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kľúčových členov spoločnosti</w:t>
            </w:r>
          </w:p>
        </w:tc>
        <w:tc>
          <w:tcPr>
            <w:tcW w:w="1531" w:type="dxa"/>
          </w:tcPr>
          <w:p w14:paraId="49173E8B" w14:textId="31DC4FBE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Pdf</w:t>
            </w:r>
            <w:proofErr w:type="spellEnd"/>
          </w:p>
        </w:tc>
      </w:tr>
      <w:tr w:rsidR="00D672DD" w14:paraId="412D4128" w14:textId="77777777" w:rsidTr="00590532">
        <w:tc>
          <w:tcPr>
            <w:tcW w:w="367" w:type="dxa"/>
          </w:tcPr>
          <w:p w14:paraId="4686E02B" w14:textId="148A3D5A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7172" w:type="dxa"/>
          </w:tcPr>
          <w:p w14:paraId="3F52BCD8" w14:textId="490DC375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Video o produktoch / spoločnosti (voliteľné)</w:t>
            </w:r>
          </w:p>
        </w:tc>
        <w:tc>
          <w:tcPr>
            <w:tcW w:w="1531" w:type="dxa"/>
          </w:tcPr>
          <w:p w14:paraId="64238189" w14:textId="050F3057" w:rsidR="00D672DD" w:rsidRDefault="00FB64FF" w:rsidP="008320E0">
            <w:pPr>
              <w:pStyle w:val="Zkladntext50"/>
              <w:shd w:val="clear" w:color="auto" w:fill="auto"/>
              <w:tabs>
                <w:tab w:val="left" w:pos="993"/>
              </w:tabs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Internetový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link</w:t>
            </w:r>
            <w:proofErr w:type="spellEnd"/>
          </w:p>
        </w:tc>
      </w:tr>
    </w:tbl>
    <w:p w14:paraId="4BA9B0C4" w14:textId="77777777" w:rsidR="00AA4E77" w:rsidRDefault="00AA4E77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2C4CC216" w14:textId="77777777" w:rsidR="009E654A" w:rsidRPr="003C24F9" w:rsidRDefault="009E654A" w:rsidP="008320E0">
      <w:pPr>
        <w:pStyle w:val="Zkladntext50"/>
        <w:shd w:val="clear" w:color="auto" w:fill="auto"/>
        <w:tabs>
          <w:tab w:val="left" w:pos="993"/>
        </w:tabs>
        <w:spacing w:before="0" w:after="0" w:line="240" w:lineRule="auto"/>
        <w:rPr>
          <w:rFonts w:asciiTheme="majorHAnsi" w:hAnsiTheme="majorHAnsi"/>
          <w:sz w:val="20"/>
          <w:szCs w:val="20"/>
        </w:rPr>
      </w:pPr>
    </w:p>
    <w:p w14:paraId="17BE8E9A" w14:textId="77777777" w:rsidR="0081382F" w:rsidRPr="003C24F9" w:rsidRDefault="0081382F" w:rsidP="008D3FFF">
      <w:pPr>
        <w:pStyle w:val="Zkladntext50"/>
        <w:shd w:val="clear" w:color="auto" w:fill="auto"/>
        <w:spacing w:before="0" w:after="0" w:line="240" w:lineRule="auto"/>
        <w:rPr>
          <w:rFonts w:asciiTheme="majorHAnsi" w:hAnsiTheme="majorHAnsi"/>
          <w:b/>
          <w:sz w:val="20"/>
          <w:szCs w:val="20"/>
        </w:rPr>
      </w:pPr>
    </w:p>
    <w:sectPr w:rsidR="0081382F" w:rsidRPr="003C24F9" w:rsidSect="00697A29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8E96" w14:textId="77777777" w:rsidR="007F4749" w:rsidRDefault="007F4749" w:rsidP="00375B28">
      <w:pPr>
        <w:spacing w:after="0" w:line="240" w:lineRule="auto"/>
      </w:pPr>
      <w:r>
        <w:separator/>
      </w:r>
    </w:p>
  </w:endnote>
  <w:endnote w:type="continuationSeparator" w:id="0">
    <w:p w14:paraId="26F17CC8" w14:textId="77777777" w:rsidR="007F4749" w:rsidRDefault="007F4749" w:rsidP="00375B28">
      <w:pPr>
        <w:spacing w:after="0" w:line="240" w:lineRule="auto"/>
      </w:pPr>
      <w:r>
        <w:continuationSeparator/>
      </w:r>
    </w:p>
  </w:endnote>
  <w:endnote w:type="continuationNotice" w:id="1">
    <w:p w14:paraId="336E11EA" w14:textId="77777777" w:rsidR="007F4749" w:rsidRDefault="007F4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EFB1" w14:textId="77777777" w:rsidR="007F4749" w:rsidRPr="008C6B31" w:rsidRDefault="007F4749">
    <w:pPr>
      <w:pStyle w:val="Footer"/>
      <w:jc w:val="right"/>
      <w:rPr>
        <w:sz w:val="16"/>
        <w:szCs w:val="16"/>
      </w:rPr>
    </w:pPr>
  </w:p>
  <w:p w14:paraId="0D0545BA" w14:textId="77777777" w:rsidR="007F4749" w:rsidRDefault="007F4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473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7ECE" w14:textId="77777777" w:rsidR="007F4749" w:rsidRDefault="007F4749">
        <w:pPr>
          <w:pStyle w:val="Footer"/>
          <w:jc w:val="right"/>
        </w:pPr>
        <w:r w:rsidRPr="00D84249">
          <w:rPr>
            <w:rFonts w:asciiTheme="majorHAnsi" w:hAnsiTheme="majorHAnsi"/>
            <w:sz w:val="20"/>
          </w:rPr>
          <w:fldChar w:fldCharType="begin"/>
        </w:r>
        <w:r w:rsidRPr="00D84249">
          <w:rPr>
            <w:rFonts w:asciiTheme="majorHAnsi" w:hAnsiTheme="majorHAnsi"/>
            <w:sz w:val="20"/>
          </w:rPr>
          <w:instrText xml:space="preserve"> PAGE   \* MERGEFORMAT </w:instrText>
        </w:r>
        <w:r w:rsidRPr="00D84249">
          <w:rPr>
            <w:rFonts w:asciiTheme="majorHAnsi" w:hAnsiTheme="majorHAnsi"/>
            <w:sz w:val="20"/>
          </w:rPr>
          <w:fldChar w:fldCharType="separate"/>
        </w:r>
        <w:r>
          <w:rPr>
            <w:rFonts w:asciiTheme="majorHAnsi" w:hAnsiTheme="majorHAnsi"/>
            <w:noProof/>
            <w:sz w:val="20"/>
          </w:rPr>
          <w:t>2</w:t>
        </w:r>
        <w:r w:rsidRPr="00D84249">
          <w:rPr>
            <w:rFonts w:asciiTheme="majorHAnsi" w:hAnsiTheme="majorHAnsi"/>
            <w:noProof/>
            <w:sz w:val="20"/>
          </w:rPr>
          <w:fldChar w:fldCharType="end"/>
        </w:r>
      </w:p>
    </w:sdtContent>
  </w:sdt>
  <w:p w14:paraId="4CE46580" w14:textId="77777777" w:rsidR="007F4749" w:rsidRDefault="007F4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D5CE" w14:textId="77777777" w:rsidR="007F4749" w:rsidRDefault="007F4749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130B7683" wp14:editId="39CE3D68">
              <wp:simplePos x="0" y="0"/>
              <wp:positionH relativeFrom="page">
                <wp:posOffset>3721735</wp:posOffset>
              </wp:positionH>
              <wp:positionV relativeFrom="page">
                <wp:posOffset>10123170</wp:posOffset>
              </wp:positionV>
              <wp:extent cx="134620" cy="136525"/>
              <wp:effectExtent l="0" t="0" r="1270" b="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A277C" w14:textId="77777777" w:rsidR="007F4749" w:rsidRDefault="007F474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90DF1">
                            <w:rPr>
                              <w:rStyle w:val="HlavikaaleboptaMicrosoftSansSerif95bodovNietun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B7683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9" type="#_x0000_t202" style="position:absolute;margin-left:293.05pt;margin-top:797.1pt;width:10.6pt;height:10.7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" filled="f" stroked="f">
              <v:textbox style="mso-fit-shape-to-text:t" inset="0,0,0,0">
                <w:txbxContent>
                  <w:p w14:paraId="0A6A277C" w14:textId="77777777" w:rsidR="00FF6806" w:rsidRDefault="00FF680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90DF1">
                      <w:rPr>
                        <w:rStyle w:val="HlavikaaleboptaMicrosoftSansSerif95bodovNietun"/>
                        <w:noProof/>
                      </w:rPr>
                      <w:t>18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1A4C2" w14:textId="77777777" w:rsidR="007F4749" w:rsidRDefault="007F4749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393FBEEA" wp14:editId="5D8BEF7F">
              <wp:simplePos x="0" y="0"/>
              <wp:positionH relativeFrom="page">
                <wp:posOffset>3723640</wp:posOffset>
              </wp:positionH>
              <wp:positionV relativeFrom="page">
                <wp:posOffset>10257155</wp:posOffset>
              </wp:positionV>
              <wp:extent cx="134620" cy="136525"/>
              <wp:effectExtent l="0" t="0" r="0" b="0"/>
              <wp:wrapNone/>
              <wp:docPr id="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9B629" w14:textId="77777777" w:rsidR="007F4749" w:rsidRDefault="007F474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6BDE">
                            <w:rPr>
                              <w:rStyle w:val="HlavikaaleboptaMicrosoftSansSerif95bodovNietun"/>
                              <w:noProof/>
                            </w:rPr>
                            <w:t>17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FBEEA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1" type="#_x0000_t202" style="position:absolute;margin-left:293.2pt;margin-top:807.65pt;width:10.6pt;height:10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" filled="f" stroked="f">
              <v:textbox style="mso-fit-shape-to-text:t" inset="0,0,0,0">
                <w:txbxContent>
                  <w:p w14:paraId="08E9B629" w14:textId="77777777" w:rsidR="00FF6806" w:rsidRDefault="00FF680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6BDE">
                      <w:rPr>
                        <w:rStyle w:val="HlavikaaleboptaMicrosoftSansSerif95bodovNietun"/>
                        <w:noProof/>
                      </w:rPr>
                      <w:t>17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CAD79" w14:textId="77777777" w:rsidR="007F4749" w:rsidRDefault="007F4749" w:rsidP="00375B28">
      <w:pPr>
        <w:spacing w:after="0" w:line="240" w:lineRule="auto"/>
      </w:pPr>
      <w:r>
        <w:separator/>
      </w:r>
    </w:p>
  </w:footnote>
  <w:footnote w:type="continuationSeparator" w:id="0">
    <w:p w14:paraId="7A040764" w14:textId="77777777" w:rsidR="007F4749" w:rsidRDefault="007F4749" w:rsidP="00375B28">
      <w:pPr>
        <w:spacing w:after="0" w:line="240" w:lineRule="auto"/>
      </w:pPr>
      <w:r>
        <w:continuationSeparator/>
      </w:r>
    </w:p>
  </w:footnote>
  <w:footnote w:type="continuationNotice" w:id="1">
    <w:p w14:paraId="191CB432" w14:textId="77777777" w:rsidR="007F4749" w:rsidRDefault="007F4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BCE6" w14:textId="77777777" w:rsidR="007F4749" w:rsidRPr="000A5CCD" w:rsidRDefault="007F4749" w:rsidP="003D0FA2">
    <w:pPr>
      <w:pStyle w:val="Header"/>
      <w:tabs>
        <w:tab w:val="clear" w:pos="4536"/>
        <w:tab w:val="clear" w:pos="9072"/>
        <w:tab w:val="right" w:pos="9026"/>
      </w:tabs>
      <w:rPr>
        <w:rFonts w:asciiTheme="majorHAnsi" w:hAnsiTheme="majorHAnsi"/>
        <w:sz w:val="20"/>
        <w:szCs w:val="20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BB2564A" wp14:editId="53A50596">
              <wp:simplePos x="0" y="0"/>
              <wp:positionH relativeFrom="page">
                <wp:posOffset>1883039</wp:posOffset>
              </wp:positionH>
              <wp:positionV relativeFrom="page">
                <wp:posOffset>453545</wp:posOffset>
              </wp:positionV>
              <wp:extent cx="5026975" cy="337820"/>
              <wp:effectExtent l="0" t="0" r="2540" b="508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9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FC8D5" w14:textId="77777777" w:rsidR="007F4749" w:rsidRPr="003D0FA2" w:rsidRDefault="007F4749" w:rsidP="009C385D">
                          <w:pPr>
                            <w:spacing w:line="240" w:lineRule="auto"/>
                            <w:ind w:right="380"/>
                            <w:jc w:val="right"/>
                            <w:rPr>
                              <w:rFonts w:asciiTheme="majorHAnsi" w:eastAsia="Segoe UI" w:hAnsiTheme="majorHAnsi" w:cs="Segoe UI"/>
                              <w:color w:val="000000"/>
                              <w:sz w:val="20"/>
                              <w:szCs w:val="20"/>
                              <w:lang w:val="sk-SK" w:bidi="en-US"/>
                            </w:rPr>
                          </w:pPr>
                          <w:r w:rsidRPr="000A5CCD"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 xml:space="preserve">Výzva na </w:t>
                          </w:r>
                          <w:r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>vyjadrenie</w:t>
                          </w:r>
                          <w:r w:rsidRPr="000A5CCD"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 xml:space="preserve"> záujmu </w:t>
                          </w:r>
                          <w:r>
                            <w:rPr>
                              <w:rStyle w:val="Hlavikaalebopta"/>
                              <w:rFonts w:asciiTheme="majorHAnsi" w:hAnsiTheme="majorHAnsi"/>
                              <w:b w:val="0"/>
                              <w:bCs w:val="0"/>
                              <w:lang w:val="sk-SK"/>
                            </w:rPr>
                            <w:t>– Program konvertibilných úverov pre inovatívne podniky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2564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148.25pt;margin-top:35.7pt;width:395.8pt;height:26.6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" filled="f" stroked="f">
              <v:textbox style="mso-fit-shape-to-text:t" inset="0,0,0,0">
                <w:txbxContent>
                  <w:p w14:paraId="5C6FC8D5" w14:textId="77777777" w:rsidR="007F4749" w:rsidRPr="003D0FA2" w:rsidRDefault="007F4749" w:rsidP="009C385D">
                    <w:pPr>
                      <w:spacing w:line="240" w:lineRule="auto"/>
                      <w:ind w:right="380"/>
                      <w:jc w:val="right"/>
                      <w:rPr>
                        <w:rFonts w:asciiTheme="majorHAnsi" w:eastAsia="Segoe UI" w:hAnsiTheme="majorHAnsi" w:cs="Segoe UI"/>
                        <w:color w:val="000000"/>
                        <w:sz w:val="20"/>
                        <w:szCs w:val="20"/>
                        <w:lang w:val="sk-SK" w:bidi="en-US"/>
                      </w:rPr>
                    </w:pPr>
                    <w:r w:rsidRPr="000A5CCD"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 xml:space="preserve">Výzva na </w:t>
                    </w:r>
                    <w:r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>vyjadrenie</w:t>
                    </w:r>
                    <w:r w:rsidRPr="000A5CCD"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 xml:space="preserve"> záujmu </w:t>
                    </w:r>
                    <w:r>
                      <w:rPr>
                        <w:rStyle w:val="Hlavikaalebopta"/>
                        <w:rFonts w:asciiTheme="majorHAnsi" w:hAnsiTheme="majorHAnsi"/>
                        <w:b w:val="0"/>
                        <w:bCs w:val="0"/>
                        <w:lang w:val="sk-SK"/>
                      </w:rPr>
                      <w:t>– Program konvertibilných úverov pre inovatívne podniky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C072" w14:textId="77777777" w:rsidR="007F4749" w:rsidRDefault="007F4749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7CD427E0" wp14:editId="720ABB27">
              <wp:simplePos x="0" y="0"/>
              <wp:positionH relativeFrom="page">
                <wp:posOffset>2349374</wp:posOffset>
              </wp:positionH>
              <wp:positionV relativeFrom="page">
                <wp:posOffset>479834</wp:posOffset>
              </wp:positionV>
              <wp:extent cx="5026975" cy="337820"/>
              <wp:effectExtent l="0" t="0" r="2540" b="508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9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FD430" w14:textId="77777777" w:rsidR="007F4749" w:rsidRDefault="007F4749">
                          <w:pPr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Finančné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nástroje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rizikového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kapitálu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Výzva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na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prejavenie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záujmu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č. JER-005/2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42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pt;margin-top:37.8pt;width:395.8pt;height:26.6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" filled="f" stroked="f">
              <v:textbox style="mso-fit-shape-to-text:t" inset="0,0,0,0">
                <w:txbxContent>
                  <w:p w14:paraId="718FD430" w14:textId="77777777" w:rsidR="00FF6806" w:rsidRDefault="00FF6806">
                    <w:pPr>
                      <w:spacing w:line="240" w:lineRule="auto"/>
                    </w:pP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Finančné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nástroje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rizikového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kapitálu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,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Výzva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na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prejavenie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záujmu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č. JER-005/2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88D4" w14:textId="77777777" w:rsidR="007F4749" w:rsidRPr="003D0FA2" w:rsidRDefault="007F4749" w:rsidP="001B558B">
    <w:pPr>
      <w:spacing w:line="240" w:lineRule="auto"/>
      <w:ind w:right="380"/>
      <w:jc w:val="right"/>
      <w:rPr>
        <w:rFonts w:asciiTheme="majorHAnsi" w:eastAsia="Segoe UI" w:hAnsiTheme="majorHAnsi" w:cs="Segoe UI"/>
        <w:color w:val="000000"/>
        <w:sz w:val="20"/>
        <w:szCs w:val="20"/>
        <w:lang w:val="sk-SK" w:bidi="en-US"/>
      </w:rPr>
    </w:pPr>
    <w:r w:rsidRPr="000A5CCD">
      <w:rPr>
        <w:rStyle w:val="Hlavikaalebopta"/>
        <w:rFonts w:asciiTheme="majorHAnsi" w:hAnsiTheme="majorHAnsi"/>
        <w:b w:val="0"/>
        <w:bCs w:val="0"/>
        <w:lang w:val="sk-SK"/>
      </w:rPr>
      <w:t xml:space="preserve">Výzva na </w:t>
    </w:r>
    <w:r>
      <w:rPr>
        <w:rStyle w:val="Hlavikaalebopta"/>
        <w:rFonts w:asciiTheme="majorHAnsi" w:hAnsiTheme="majorHAnsi"/>
        <w:b w:val="0"/>
        <w:bCs w:val="0"/>
        <w:lang w:val="sk-SK"/>
      </w:rPr>
      <w:t>vyjadrenie</w:t>
    </w:r>
    <w:r w:rsidRPr="000A5CCD">
      <w:rPr>
        <w:rStyle w:val="Hlavikaalebopta"/>
        <w:rFonts w:asciiTheme="majorHAnsi" w:hAnsiTheme="majorHAnsi"/>
        <w:b w:val="0"/>
        <w:bCs w:val="0"/>
        <w:lang w:val="sk-SK"/>
      </w:rPr>
      <w:t xml:space="preserve"> záujmu </w:t>
    </w:r>
    <w:r>
      <w:rPr>
        <w:rStyle w:val="Hlavikaalebopta"/>
        <w:rFonts w:asciiTheme="majorHAnsi" w:hAnsiTheme="majorHAnsi"/>
        <w:b w:val="0"/>
        <w:bCs w:val="0"/>
        <w:lang w:val="sk-SK"/>
      </w:rPr>
      <w:t>– Program konvertibilných úverov pre inovatívne podniky</w:t>
    </w:r>
  </w:p>
  <w:p w14:paraId="4890E07E" w14:textId="77777777" w:rsidR="007F4749" w:rsidRDefault="007F4749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20BAADE6" wp14:editId="34AE053B">
              <wp:simplePos x="0" y="0"/>
              <wp:positionH relativeFrom="page">
                <wp:posOffset>2649220</wp:posOffset>
              </wp:positionH>
              <wp:positionV relativeFrom="page">
                <wp:posOffset>478790</wp:posOffset>
              </wp:positionV>
              <wp:extent cx="4178935" cy="423545"/>
              <wp:effectExtent l="1270" t="2540" r="127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695A8" w14:textId="77777777" w:rsidR="007F4749" w:rsidRDefault="007F47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AADE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208.6pt;margin-top:37.7pt;width:329.05pt;height:33.3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" filled="f" stroked="f">
              <v:textbox style="mso-fit-shape-to-text:t" inset="0,0,0,0">
                <w:txbxContent>
                  <w:p w14:paraId="721695A8" w14:textId="77777777" w:rsidR="00FF6806" w:rsidRDefault="00FF680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276F" w14:textId="77777777" w:rsidR="007F4749" w:rsidRDefault="007F4749">
    <w:pPr>
      <w:rPr>
        <w:sz w:val="2"/>
        <w:szCs w:val="2"/>
      </w:rPr>
    </w:pPr>
    <w:r w:rsidRPr="00AF5207">
      <w:rPr>
        <w:noProof/>
        <w:lang w:val="sk-SK" w:eastAsia="sk-SK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38169300" wp14:editId="55124722">
              <wp:simplePos x="0" y="0"/>
              <wp:positionH relativeFrom="page">
                <wp:posOffset>2606040</wp:posOffset>
              </wp:positionH>
              <wp:positionV relativeFrom="page">
                <wp:posOffset>525780</wp:posOffset>
              </wp:positionV>
              <wp:extent cx="5021580" cy="168910"/>
              <wp:effectExtent l="0" t="0" r="7620" b="2540"/>
              <wp:wrapNone/>
              <wp:docPr id="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15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33D72" w14:textId="77777777" w:rsidR="007F4749" w:rsidRDefault="007F4749">
                          <w:pPr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Finančné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nástroje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rizikového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kapitálu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Výzva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na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prejavenie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>záujmu</w:t>
                          </w:r>
                          <w:proofErr w:type="spellEnd"/>
                          <w:r>
                            <w:rPr>
                              <w:rStyle w:val="Hlavikaalebopta"/>
                              <w:b w:val="0"/>
                              <w:bCs w:val="0"/>
                            </w:rPr>
                            <w:t xml:space="preserve"> č. JER-005/2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930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margin-left:205.2pt;margin-top:41.4pt;width:395.4pt;height:13.3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" filled="f" stroked="f">
              <v:textbox style="mso-fit-shape-to-text:t" inset="0,0,0,0">
                <w:txbxContent>
                  <w:p w14:paraId="40B33D72" w14:textId="77777777" w:rsidR="00FF6806" w:rsidRDefault="00FF6806">
                    <w:pPr>
                      <w:spacing w:line="240" w:lineRule="auto"/>
                    </w:pP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Finančné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nástroje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rizikového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kapitálu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,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Výzva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na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prejavenie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</w:t>
                    </w:r>
                    <w:proofErr w:type="spellStart"/>
                    <w:r>
                      <w:rPr>
                        <w:rStyle w:val="Hlavikaalebopta"/>
                        <w:b w:val="0"/>
                        <w:bCs w:val="0"/>
                      </w:rPr>
                      <w:t>záujmu</w:t>
                    </w:r>
                    <w:proofErr w:type="spellEnd"/>
                    <w:r>
                      <w:rPr>
                        <w:rStyle w:val="Hlavikaalebopta"/>
                        <w:b w:val="0"/>
                        <w:bCs w:val="0"/>
                      </w:rPr>
                      <w:t xml:space="preserve"> č. JER-005/2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447"/>
    <w:multiLevelType w:val="hybridMultilevel"/>
    <w:tmpl w:val="5DCE2A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6FE"/>
    <w:multiLevelType w:val="hybridMultilevel"/>
    <w:tmpl w:val="A46089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DC2508"/>
    <w:multiLevelType w:val="hybridMultilevel"/>
    <w:tmpl w:val="D6D64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B63"/>
    <w:multiLevelType w:val="multilevel"/>
    <w:tmpl w:val="26DAD380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B5A6D"/>
    <w:multiLevelType w:val="hybridMultilevel"/>
    <w:tmpl w:val="AED6E196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8702A"/>
    <w:multiLevelType w:val="hybridMultilevel"/>
    <w:tmpl w:val="82F2EEC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1163D"/>
    <w:multiLevelType w:val="hybridMultilevel"/>
    <w:tmpl w:val="8F787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2453"/>
    <w:multiLevelType w:val="multilevel"/>
    <w:tmpl w:val="7D92AB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C32CA8"/>
    <w:multiLevelType w:val="hybridMultilevel"/>
    <w:tmpl w:val="17C082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457"/>
    <w:multiLevelType w:val="hybridMultilevel"/>
    <w:tmpl w:val="6F02051C"/>
    <w:lvl w:ilvl="0" w:tplc="25D0EB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56BA"/>
    <w:multiLevelType w:val="hybridMultilevel"/>
    <w:tmpl w:val="1DCEEB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269"/>
    <w:multiLevelType w:val="hybridMultilevel"/>
    <w:tmpl w:val="2F60FEE6"/>
    <w:lvl w:ilvl="0" w:tplc="25D0EB20">
      <w:start w:val="1"/>
      <w:numFmt w:val="lowerRoman"/>
      <w:lvlText w:val="(%1)"/>
      <w:lvlJc w:val="left"/>
      <w:pPr>
        <w:ind w:left="1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0F">
      <w:start w:val="1"/>
      <w:numFmt w:val="decimal"/>
      <w:lvlText w:val="%4."/>
      <w:lvlJc w:val="left"/>
      <w:pPr>
        <w:ind w:left="1637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2693E07"/>
    <w:multiLevelType w:val="multilevel"/>
    <w:tmpl w:val="FBF6D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AB41CF"/>
    <w:multiLevelType w:val="hybridMultilevel"/>
    <w:tmpl w:val="4DCE67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D69BE"/>
    <w:multiLevelType w:val="hybridMultilevel"/>
    <w:tmpl w:val="A8D22954"/>
    <w:lvl w:ilvl="0" w:tplc="C1C65D7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6A2139"/>
    <w:multiLevelType w:val="hybridMultilevel"/>
    <w:tmpl w:val="68920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7753C"/>
    <w:multiLevelType w:val="hybridMultilevel"/>
    <w:tmpl w:val="A300A26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9921CF"/>
    <w:multiLevelType w:val="hybridMultilevel"/>
    <w:tmpl w:val="5A64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77005B"/>
    <w:multiLevelType w:val="hybridMultilevel"/>
    <w:tmpl w:val="8A82064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52DE2"/>
    <w:multiLevelType w:val="hybridMultilevel"/>
    <w:tmpl w:val="FA02B2BE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E0720"/>
    <w:multiLevelType w:val="hybridMultilevel"/>
    <w:tmpl w:val="28B05F58"/>
    <w:lvl w:ilvl="0" w:tplc="3C8C2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7976"/>
    <w:multiLevelType w:val="hybridMultilevel"/>
    <w:tmpl w:val="5942D57C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826FB"/>
    <w:multiLevelType w:val="multilevel"/>
    <w:tmpl w:val="56EE52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3CD5633"/>
    <w:multiLevelType w:val="hybridMultilevel"/>
    <w:tmpl w:val="31BA0B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53AFE"/>
    <w:multiLevelType w:val="hybridMultilevel"/>
    <w:tmpl w:val="141498B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D9696F"/>
    <w:multiLevelType w:val="multilevel"/>
    <w:tmpl w:val="2B7A2C3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6765CCB"/>
    <w:multiLevelType w:val="hybridMultilevel"/>
    <w:tmpl w:val="7BBC7978"/>
    <w:lvl w:ilvl="0" w:tplc="B1941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3737"/>
    <w:multiLevelType w:val="hybridMultilevel"/>
    <w:tmpl w:val="6F02051C"/>
    <w:lvl w:ilvl="0" w:tplc="25D0EB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52EE"/>
    <w:multiLevelType w:val="multilevel"/>
    <w:tmpl w:val="F3083D0E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762A2"/>
    <w:multiLevelType w:val="hybridMultilevel"/>
    <w:tmpl w:val="558E7944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026E5"/>
    <w:multiLevelType w:val="hybridMultilevel"/>
    <w:tmpl w:val="239211DE"/>
    <w:lvl w:ilvl="0" w:tplc="041B000F">
      <w:start w:val="1"/>
      <w:numFmt w:val="decimal"/>
      <w:lvlText w:val="%1."/>
      <w:lvlJc w:val="left"/>
      <w:pPr>
        <w:ind w:left="-1422" w:hanging="360"/>
      </w:pPr>
    </w:lvl>
    <w:lvl w:ilvl="1" w:tplc="041B0019" w:tentative="1">
      <w:start w:val="1"/>
      <w:numFmt w:val="lowerLetter"/>
      <w:lvlText w:val="%2."/>
      <w:lvlJc w:val="left"/>
      <w:pPr>
        <w:ind w:left="-702" w:hanging="360"/>
      </w:pPr>
    </w:lvl>
    <w:lvl w:ilvl="2" w:tplc="041B001B" w:tentative="1">
      <w:start w:val="1"/>
      <w:numFmt w:val="lowerRoman"/>
      <w:lvlText w:val="%3."/>
      <w:lvlJc w:val="right"/>
      <w:pPr>
        <w:ind w:left="18" w:hanging="180"/>
      </w:pPr>
    </w:lvl>
    <w:lvl w:ilvl="3" w:tplc="041B000F" w:tentative="1">
      <w:start w:val="1"/>
      <w:numFmt w:val="decimal"/>
      <w:lvlText w:val="%4."/>
      <w:lvlJc w:val="left"/>
      <w:pPr>
        <w:ind w:left="738" w:hanging="360"/>
      </w:pPr>
    </w:lvl>
    <w:lvl w:ilvl="4" w:tplc="041B0019" w:tentative="1">
      <w:start w:val="1"/>
      <w:numFmt w:val="lowerLetter"/>
      <w:lvlText w:val="%5."/>
      <w:lvlJc w:val="left"/>
      <w:pPr>
        <w:ind w:left="1458" w:hanging="360"/>
      </w:pPr>
    </w:lvl>
    <w:lvl w:ilvl="5" w:tplc="041B001B" w:tentative="1">
      <w:start w:val="1"/>
      <w:numFmt w:val="lowerRoman"/>
      <w:lvlText w:val="%6."/>
      <w:lvlJc w:val="right"/>
      <w:pPr>
        <w:ind w:left="2178" w:hanging="180"/>
      </w:pPr>
    </w:lvl>
    <w:lvl w:ilvl="6" w:tplc="041B000F" w:tentative="1">
      <w:start w:val="1"/>
      <w:numFmt w:val="decimal"/>
      <w:lvlText w:val="%7."/>
      <w:lvlJc w:val="left"/>
      <w:pPr>
        <w:ind w:left="2898" w:hanging="360"/>
      </w:pPr>
    </w:lvl>
    <w:lvl w:ilvl="7" w:tplc="041B0019" w:tentative="1">
      <w:start w:val="1"/>
      <w:numFmt w:val="lowerLetter"/>
      <w:lvlText w:val="%8."/>
      <w:lvlJc w:val="left"/>
      <w:pPr>
        <w:ind w:left="3618" w:hanging="360"/>
      </w:pPr>
    </w:lvl>
    <w:lvl w:ilvl="8" w:tplc="041B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1" w15:restartNumberingAfterBreak="0">
    <w:nsid w:val="630D31F0"/>
    <w:multiLevelType w:val="hybridMultilevel"/>
    <w:tmpl w:val="1E2CD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C63C8"/>
    <w:multiLevelType w:val="hybridMultilevel"/>
    <w:tmpl w:val="35182C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B1B36"/>
    <w:multiLevelType w:val="hybridMultilevel"/>
    <w:tmpl w:val="9350C952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01DEA"/>
    <w:multiLevelType w:val="hybridMultilevel"/>
    <w:tmpl w:val="7A186D8A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041B000F">
      <w:start w:val="1"/>
      <w:numFmt w:val="decimal"/>
      <w:lvlText w:val="%4."/>
      <w:lvlJc w:val="left"/>
      <w:pPr>
        <w:ind w:left="1637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72086A2A"/>
    <w:multiLevelType w:val="hybridMultilevel"/>
    <w:tmpl w:val="A642B9F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3F152C"/>
    <w:multiLevelType w:val="multilevel"/>
    <w:tmpl w:val="CED415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7D2707"/>
    <w:multiLevelType w:val="hybridMultilevel"/>
    <w:tmpl w:val="EC369A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637097"/>
    <w:multiLevelType w:val="hybridMultilevel"/>
    <w:tmpl w:val="AB6836B8"/>
    <w:lvl w:ilvl="0" w:tplc="F5D8E1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94D50"/>
    <w:multiLevelType w:val="hybridMultilevel"/>
    <w:tmpl w:val="62E084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F31C1"/>
    <w:multiLevelType w:val="hybridMultilevel"/>
    <w:tmpl w:val="FF5C14D2"/>
    <w:lvl w:ilvl="0" w:tplc="E80CCC6E">
      <w:start w:val="1"/>
      <w:numFmt w:val="bullet"/>
      <w:lvlText w:val=""/>
      <w:lvlJc w:val="left"/>
      <w:pPr>
        <w:tabs>
          <w:tab w:val="num" w:pos="468"/>
        </w:tabs>
        <w:ind w:left="468" w:hanging="468"/>
      </w:pPr>
      <w:rPr>
        <w:rFonts w:ascii="Symbol" w:hAnsi="Symbol" w:hint="default"/>
        <w:sz w:val="20"/>
      </w:rPr>
    </w:lvl>
    <w:lvl w:ilvl="1" w:tplc="0D0E3E06">
      <w:start w:val="1"/>
      <w:numFmt w:val="upperLetter"/>
      <w:pStyle w:val="tlPodaokraja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sz w:val="20"/>
        <w:szCs w:val="20"/>
      </w:rPr>
    </w:lvl>
    <w:lvl w:ilvl="2" w:tplc="F8C2C5A0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3"/>
  </w:num>
  <w:num w:numId="6">
    <w:abstractNumId w:val="31"/>
  </w:num>
  <w:num w:numId="7">
    <w:abstractNumId w:val="6"/>
  </w:num>
  <w:num w:numId="8">
    <w:abstractNumId w:val="15"/>
  </w:num>
  <w:num w:numId="9">
    <w:abstractNumId w:val="20"/>
  </w:num>
  <w:num w:numId="10">
    <w:abstractNumId w:val="18"/>
  </w:num>
  <w:num w:numId="11">
    <w:abstractNumId w:val="19"/>
  </w:num>
  <w:num w:numId="12">
    <w:abstractNumId w:val="33"/>
  </w:num>
  <w:num w:numId="13">
    <w:abstractNumId w:val="5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29"/>
  </w:num>
  <w:num w:numId="19">
    <w:abstractNumId w:val="38"/>
  </w:num>
  <w:num w:numId="20">
    <w:abstractNumId w:val="23"/>
  </w:num>
  <w:num w:numId="21">
    <w:abstractNumId w:val="0"/>
  </w:num>
  <w:num w:numId="22">
    <w:abstractNumId w:val="13"/>
  </w:num>
  <w:num w:numId="23">
    <w:abstractNumId w:val="39"/>
  </w:num>
  <w:num w:numId="24">
    <w:abstractNumId w:val="17"/>
  </w:num>
  <w:num w:numId="25">
    <w:abstractNumId w:val="10"/>
  </w:num>
  <w:num w:numId="26">
    <w:abstractNumId w:val="16"/>
  </w:num>
  <w:num w:numId="27">
    <w:abstractNumId w:val="8"/>
  </w:num>
  <w:num w:numId="28">
    <w:abstractNumId w:val="37"/>
  </w:num>
  <w:num w:numId="29">
    <w:abstractNumId w:val="24"/>
  </w:num>
  <w:num w:numId="30">
    <w:abstractNumId w:val="14"/>
  </w:num>
  <w:num w:numId="31">
    <w:abstractNumId w:val="1"/>
  </w:num>
  <w:num w:numId="32">
    <w:abstractNumId w:val="9"/>
  </w:num>
  <w:num w:numId="33">
    <w:abstractNumId w:val="27"/>
  </w:num>
  <w:num w:numId="34">
    <w:abstractNumId w:val="11"/>
  </w:num>
  <w:num w:numId="35">
    <w:abstractNumId w:val="32"/>
  </w:num>
  <w:num w:numId="36">
    <w:abstractNumId w:val="25"/>
  </w:num>
  <w:num w:numId="37">
    <w:abstractNumId w:val="36"/>
  </w:num>
  <w:num w:numId="38">
    <w:abstractNumId w:val="22"/>
  </w:num>
  <w:num w:numId="39">
    <w:abstractNumId w:val="7"/>
  </w:num>
  <w:num w:numId="40">
    <w:abstractNumId w:val="26"/>
  </w:num>
  <w:num w:numId="4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24"/>
    <w:rsid w:val="0000363B"/>
    <w:rsid w:val="00003795"/>
    <w:rsid w:val="00006834"/>
    <w:rsid w:val="00006A95"/>
    <w:rsid w:val="000105C9"/>
    <w:rsid w:val="00010CD1"/>
    <w:rsid w:val="00011875"/>
    <w:rsid w:val="00013564"/>
    <w:rsid w:val="00014BED"/>
    <w:rsid w:val="00014FBA"/>
    <w:rsid w:val="000152AA"/>
    <w:rsid w:val="000161CB"/>
    <w:rsid w:val="0001678C"/>
    <w:rsid w:val="0002111C"/>
    <w:rsid w:val="00021E15"/>
    <w:rsid w:val="00023437"/>
    <w:rsid w:val="000306C2"/>
    <w:rsid w:val="000308D8"/>
    <w:rsid w:val="00032017"/>
    <w:rsid w:val="0003201D"/>
    <w:rsid w:val="00037EAF"/>
    <w:rsid w:val="0004012A"/>
    <w:rsid w:val="00040252"/>
    <w:rsid w:val="000404FF"/>
    <w:rsid w:val="00042269"/>
    <w:rsid w:val="000427CA"/>
    <w:rsid w:val="00043639"/>
    <w:rsid w:val="00046F48"/>
    <w:rsid w:val="00051F89"/>
    <w:rsid w:val="000538FC"/>
    <w:rsid w:val="00053FBB"/>
    <w:rsid w:val="00054E38"/>
    <w:rsid w:val="000551E9"/>
    <w:rsid w:val="00056B91"/>
    <w:rsid w:val="00062B6F"/>
    <w:rsid w:val="0006330B"/>
    <w:rsid w:val="000640F6"/>
    <w:rsid w:val="000645BE"/>
    <w:rsid w:val="00066A49"/>
    <w:rsid w:val="000715FF"/>
    <w:rsid w:val="00076FCE"/>
    <w:rsid w:val="00077D06"/>
    <w:rsid w:val="00077FC3"/>
    <w:rsid w:val="0008083C"/>
    <w:rsid w:val="00080C43"/>
    <w:rsid w:val="00081A3C"/>
    <w:rsid w:val="00082FC1"/>
    <w:rsid w:val="00083492"/>
    <w:rsid w:val="00084478"/>
    <w:rsid w:val="000867B2"/>
    <w:rsid w:val="00090A19"/>
    <w:rsid w:val="0009166B"/>
    <w:rsid w:val="000943D7"/>
    <w:rsid w:val="00094AE7"/>
    <w:rsid w:val="000A0185"/>
    <w:rsid w:val="000A1367"/>
    <w:rsid w:val="000A36C4"/>
    <w:rsid w:val="000A39E0"/>
    <w:rsid w:val="000A5143"/>
    <w:rsid w:val="000A5734"/>
    <w:rsid w:val="000A5CCD"/>
    <w:rsid w:val="000A6C13"/>
    <w:rsid w:val="000A770A"/>
    <w:rsid w:val="000B02FD"/>
    <w:rsid w:val="000B67AF"/>
    <w:rsid w:val="000C10E7"/>
    <w:rsid w:val="000C15B0"/>
    <w:rsid w:val="000C1B21"/>
    <w:rsid w:val="000C3D17"/>
    <w:rsid w:val="000C7FFC"/>
    <w:rsid w:val="000D1378"/>
    <w:rsid w:val="000D221B"/>
    <w:rsid w:val="000D4254"/>
    <w:rsid w:val="000D73EC"/>
    <w:rsid w:val="000E0747"/>
    <w:rsid w:val="000E30E2"/>
    <w:rsid w:val="000E38A5"/>
    <w:rsid w:val="000F3875"/>
    <w:rsid w:val="000F64F4"/>
    <w:rsid w:val="00100B47"/>
    <w:rsid w:val="0010299A"/>
    <w:rsid w:val="001031C5"/>
    <w:rsid w:val="00103BE8"/>
    <w:rsid w:val="0010405C"/>
    <w:rsid w:val="001065DD"/>
    <w:rsid w:val="0011119D"/>
    <w:rsid w:val="00111E7F"/>
    <w:rsid w:val="0011290D"/>
    <w:rsid w:val="00112968"/>
    <w:rsid w:val="001140D4"/>
    <w:rsid w:val="00114E58"/>
    <w:rsid w:val="00115177"/>
    <w:rsid w:val="001159B3"/>
    <w:rsid w:val="00117F5A"/>
    <w:rsid w:val="00120D33"/>
    <w:rsid w:val="00121B57"/>
    <w:rsid w:val="00121CAB"/>
    <w:rsid w:val="00122D52"/>
    <w:rsid w:val="001233A7"/>
    <w:rsid w:val="001237F5"/>
    <w:rsid w:val="001239CB"/>
    <w:rsid w:val="00126BE1"/>
    <w:rsid w:val="0012793C"/>
    <w:rsid w:val="00127ECC"/>
    <w:rsid w:val="001304FC"/>
    <w:rsid w:val="00132725"/>
    <w:rsid w:val="00133840"/>
    <w:rsid w:val="00134469"/>
    <w:rsid w:val="00134D88"/>
    <w:rsid w:val="00136CE7"/>
    <w:rsid w:val="00137F9F"/>
    <w:rsid w:val="00143F85"/>
    <w:rsid w:val="0014444B"/>
    <w:rsid w:val="0014533A"/>
    <w:rsid w:val="00145A66"/>
    <w:rsid w:val="00145FFB"/>
    <w:rsid w:val="001462EF"/>
    <w:rsid w:val="00146EB6"/>
    <w:rsid w:val="00150CA0"/>
    <w:rsid w:val="00152978"/>
    <w:rsid w:val="001536D5"/>
    <w:rsid w:val="0015772B"/>
    <w:rsid w:val="00157936"/>
    <w:rsid w:val="00157D80"/>
    <w:rsid w:val="00157EA2"/>
    <w:rsid w:val="00161E1F"/>
    <w:rsid w:val="00163308"/>
    <w:rsid w:val="00163635"/>
    <w:rsid w:val="00163D7A"/>
    <w:rsid w:val="00164897"/>
    <w:rsid w:val="0016520C"/>
    <w:rsid w:val="00175440"/>
    <w:rsid w:val="0017658B"/>
    <w:rsid w:val="00177310"/>
    <w:rsid w:val="00182A59"/>
    <w:rsid w:val="001833D7"/>
    <w:rsid w:val="00183A36"/>
    <w:rsid w:val="001860D4"/>
    <w:rsid w:val="001867B0"/>
    <w:rsid w:val="001870B6"/>
    <w:rsid w:val="001879BE"/>
    <w:rsid w:val="00190501"/>
    <w:rsid w:val="00190846"/>
    <w:rsid w:val="00190B79"/>
    <w:rsid w:val="00191454"/>
    <w:rsid w:val="00191A2C"/>
    <w:rsid w:val="0019606B"/>
    <w:rsid w:val="00196AE3"/>
    <w:rsid w:val="00197A41"/>
    <w:rsid w:val="00197A8F"/>
    <w:rsid w:val="00197B35"/>
    <w:rsid w:val="00197FC2"/>
    <w:rsid w:val="001A037C"/>
    <w:rsid w:val="001A39C7"/>
    <w:rsid w:val="001A7901"/>
    <w:rsid w:val="001B0E61"/>
    <w:rsid w:val="001B360E"/>
    <w:rsid w:val="001B49F4"/>
    <w:rsid w:val="001B558B"/>
    <w:rsid w:val="001B612C"/>
    <w:rsid w:val="001C1403"/>
    <w:rsid w:val="001C645F"/>
    <w:rsid w:val="001D4A4B"/>
    <w:rsid w:val="001D6D22"/>
    <w:rsid w:val="001E04F0"/>
    <w:rsid w:val="001E05A4"/>
    <w:rsid w:val="001E17EF"/>
    <w:rsid w:val="001E297E"/>
    <w:rsid w:val="001E5353"/>
    <w:rsid w:val="001E6975"/>
    <w:rsid w:val="001F11DA"/>
    <w:rsid w:val="001F127B"/>
    <w:rsid w:val="001F285E"/>
    <w:rsid w:val="001F2DC9"/>
    <w:rsid w:val="001F446D"/>
    <w:rsid w:val="001F5A85"/>
    <w:rsid w:val="001F7D31"/>
    <w:rsid w:val="002007D6"/>
    <w:rsid w:val="00203467"/>
    <w:rsid w:val="0020492E"/>
    <w:rsid w:val="00210C8C"/>
    <w:rsid w:val="002127AF"/>
    <w:rsid w:val="002156B6"/>
    <w:rsid w:val="00216177"/>
    <w:rsid w:val="0021678A"/>
    <w:rsid w:val="00217166"/>
    <w:rsid w:val="002172A0"/>
    <w:rsid w:val="0021745E"/>
    <w:rsid w:val="00220970"/>
    <w:rsid w:val="00221503"/>
    <w:rsid w:val="00221924"/>
    <w:rsid w:val="00224A48"/>
    <w:rsid w:val="00224B9D"/>
    <w:rsid w:val="00230740"/>
    <w:rsid w:val="002330ED"/>
    <w:rsid w:val="002337A1"/>
    <w:rsid w:val="00235CD0"/>
    <w:rsid w:val="00236280"/>
    <w:rsid w:val="00240F52"/>
    <w:rsid w:val="002415EF"/>
    <w:rsid w:val="00242507"/>
    <w:rsid w:val="00243A3C"/>
    <w:rsid w:val="002445F2"/>
    <w:rsid w:val="00246E35"/>
    <w:rsid w:val="0025124B"/>
    <w:rsid w:val="002545E5"/>
    <w:rsid w:val="00254CEE"/>
    <w:rsid w:val="00256179"/>
    <w:rsid w:val="00256516"/>
    <w:rsid w:val="00256719"/>
    <w:rsid w:val="0025767C"/>
    <w:rsid w:val="00260A0E"/>
    <w:rsid w:val="00261325"/>
    <w:rsid w:val="00261C0A"/>
    <w:rsid w:val="00261C51"/>
    <w:rsid w:val="0026354B"/>
    <w:rsid w:val="00264F0E"/>
    <w:rsid w:val="00266037"/>
    <w:rsid w:val="00267F9B"/>
    <w:rsid w:val="0027034D"/>
    <w:rsid w:val="002717AE"/>
    <w:rsid w:val="00271C88"/>
    <w:rsid w:val="0027392F"/>
    <w:rsid w:val="00281FD0"/>
    <w:rsid w:val="0028273C"/>
    <w:rsid w:val="002830B5"/>
    <w:rsid w:val="00285F6A"/>
    <w:rsid w:val="00286906"/>
    <w:rsid w:val="002900C6"/>
    <w:rsid w:val="002936AE"/>
    <w:rsid w:val="0029608E"/>
    <w:rsid w:val="002969CB"/>
    <w:rsid w:val="002969D8"/>
    <w:rsid w:val="00297BE0"/>
    <w:rsid w:val="00297CCA"/>
    <w:rsid w:val="002A191D"/>
    <w:rsid w:val="002A31A8"/>
    <w:rsid w:val="002A407D"/>
    <w:rsid w:val="002A61D9"/>
    <w:rsid w:val="002A6EF8"/>
    <w:rsid w:val="002A6F3D"/>
    <w:rsid w:val="002A703E"/>
    <w:rsid w:val="002B2248"/>
    <w:rsid w:val="002B3B86"/>
    <w:rsid w:val="002B4F1C"/>
    <w:rsid w:val="002B5B6D"/>
    <w:rsid w:val="002B6A94"/>
    <w:rsid w:val="002C0181"/>
    <w:rsid w:val="002C1F4F"/>
    <w:rsid w:val="002C3344"/>
    <w:rsid w:val="002C59DD"/>
    <w:rsid w:val="002C5F73"/>
    <w:rsid w:val="002C752C"/>
    <w:rsid w:val="002D23FE"/>
    <w:rsid w:val="002D351A"/>
    <w:rsid w:val="002D5E1B"/>
    <w:rsid w:val="002D768D"/>
    <w:rsid w:val="002E09B2"/>
    <w:rsid w:val="002E0B1D"/>
    <w:rsid w:val="002E1189"/>
    <w:rsid w:val="002E1396"/>
    <w:rsid w:val="002E2653"/>
    <w:rsid w:val="002E2965"/>
    <w:rsid w:val="002E2BCD"/>
    <w:rsid w:val="002E36D8"/>
    <w:rsid w:val="002E37B9"/>
    <w:rsid w:val="002E3FF2"/>
    <w:rsid w:val="002E4F8D"/>
    <w:rsid w:val="002E5DE7"/>
    <w:rsid w:val="002E7C6F"/>
    <w:rsid w:val="002E7F67"/>
    <w:rsid w:val="002F0020"/>
    <w:rsid w:val="002F23CA"/>
    <w:rsid w:val="002F6014"/>
    <w:rsid w:val="002F776D"/>
    <w:rsid w:val="002F7789"/>
    <w:rsid w:val="00300ADE"/>
    <w:rsid w:val="00300C3F"/>
    <w:rsid w:val="0030316D"/>
    <w:rsid w:val="0030469F"/>
    <w:rsid w:val="00304FFD"/>
    <w:rsid w:val="00310D9F"/>
    <w:rsid w:val="00311094"/>
    <w:rsid w:val="00313CC3"/>
    <w:rsid w:val="003142CF"/>
    <w:rsid w:val="00316DFB"/>
    <w:rsid w:val="00321995"/>
    <w:rsid w:val="00326F21"/>
    <w:rsid w:val="00331244"/>
    <w:rsid w:val="00331626"/>
    <w:rsid w:val="003336A7"/>
    <w:rsid w:val="00333B75"/>
    <w:rsid w:val="0033538F"/>
    <w:rsid w:val="00335504"/>
    <w:rsid w:val="003377AD"/>
    <w:rsid w:val="00337F7C"/>
    <w:rsid w:val="00337F8A"/>
    <w:rsid w:val="003413AA"/>
    <w:rsid w:val="00345E9C"/>
    <w:rsid w:val="0034677C"/>
    <w:rsid w:val="003474A7"/>
    <w:rsid w:val="00350491"/>
    <w:rsid w:val="00351C7B"/>
    <w:rsid w:val="003522D4"/>
    <w:rsid w:val="00352C3D"/>
    <w:rsid w:val="003543F1"/>
    <w:rsid w:val="00362AB5"/>
    <w:rsid w:val="00362FD6"/>
    <w:rsid w:val="00363791"/>
    <w:rsid w:val="003649CE"/>
    <w:rsid w:val="00366A50"/>
    <w:rsid w:val="00366B56"/>
    <w:rsid w:val="0036763A"/>
    <w:rsid w:val="00375B28"/>
    <w:rsid w:val="00375CD2"/>
    <w:rsid w:val="003776DD"/>
    <w:rsid w:val="00377BEC"/>
    <w:rsid w:val="003801F7"/>
    <w:rsid w:val="0038166C"/>
    <w:rsid w:val="0038281C"/>
    <w:rsid w:val="003835A4"/>
    <w:rsid w:val="003848B0"/>
    <w:rsid w:val="00392E6F"/>
    <w:rsid w:val="00393E6B"/>
    <w:rsid w:val="00395F76"/>
    <w:rsid w:val="003A1200"/>
    <w:rsid w:val="003A44D7"/>
    <w:rsid w:val="003A520F"/>
    <w:rsid w:val="003B05F4"/>
    <w:rsid w:val="003B0E68"/>
    <w:rsid w:val="003B178F"/>
    <w:rsid w:val="003B4775"/>
    <w:rsid w:val="003B4952"/>
    <w:rsid w:val="003C24F9"/>
    <w:rsid w:val="003C2F31"/>
    <w:rsid w:val="003C518C"/>
    <w:rsid w:val="003C5B7C"/>
    <w:rsid w:val="003C6070"/>
    <w:rsid w:val="003D090C"/>
    <w:rsid w:val="003D0FA2"/>
    <w:rsid w:val="003D10A6"/>
    <w:rsid w:val="003D45A0"/>
    <w:rsid w:val="003D492F"/>
    <w:rsid w:val="003D4BC0"/>
    <w:rsid w:val="003D5654"/>
    <w:rsid w:val="003D57B2"/>
    <w:rsid w:val="003D57FF"/>
    <w:rsid w:val="003D7FD3"/>
    <w:rsid w:val="003E0B97"/>
    <w:rsid w:val="003E14E5"/>
    <w:rsid w:val="003E3D80"/>
    <w:rsid w:val="003E673C"/>
    <w:rsid w:val="003E7A72"/>
    <w:rsid w:val="003F0185"/>
    <w:rsid w:val="003F0399"/>
    <w:rsid w:val="003F03A7"/>
    <w:rsid w:val="003F15E6"/>
    <w:rsid w:val="003F179B"/>
    <w:rsid w:val="003F1AD6"/>
    <w:rsid w:val="003F2353"/>
    <w:rsid w:val="003F2817"/>
    <w:rsid w:val="003F3EAD"/>
    <w:rsid w:val="00401C6D"/>
    <w:rsid w:val="00401DCE"/>
    <w:rsid w:val="004024AD"/>
    <w:rsid w:val="00403AEF"/>
    <w:rsid w:val="00404283"/>
    <w:rsid w:val="00406A32"/>
    <w:rsid w:val="004102CE"/>
    <w:rsid w:val="00411805"/>
    <w:rsid w:val="00411B8E"/>
    <w:rsid w:val="00413DE9"/>
    <w:rsid w:val="00414A07"/>
    <w:rsid w:val="00415217"/>
    <w:rsid w:val="00422910"/>
    <w:rsid w:val="00422A51"/>
    <w:rsid w:val="004321E5"/>
    <w:rsid w:val="00435FA8"/>
    <w:rsid w:val="00436E2F"/>
    <w:rsid w:val="00440321"/>
    <w:rsid w:val="00440696"/>
    <w:rsid w:val="00440E6A"/>
    <w:rsid w:val="00441110"/>
    <w:rsid w:val="0044125F"/>
    <w:rsid w:val="004434AB"/>
    <w:rsid w:val="0044365A"/>
    <w:rsid w:val="004440C1"/>
    <w:rsid w:val="004441F1"/>
    <w:rsid w:val="004453FC"/>
    <w:rsid w:val="00446140"/>
    <w:rsid w:val="004466ED"/>
    <w:rsid w:val="004468A3"/>
    <w:rsid w:val="00446EF3"/>
    <w:rsid w:val="0045054D"/>
    <w:rsid w:val="004524B5"/>
    <w:rsid w:val="0045260A"/>
    <w:rsid w:val="0045487F"/>
    <w:rsid w:val="00456291"/>
    <w:rsid w:val="004566C7"/>
    <w:rsid w:val="00456AC9"/>
    <w:rsid w:val="00457782"/>
    <w:rsid w:val="00461165"/>
    <w:rsid w:val="00464440"/>
    <w:rsid w:val="0046460E"/>
    <w:rsid w:val="00464FB2"/>
    <w:rsid w:val="00470F76"/>
    <w:rsid w:val="00471F4C"/>
    <w:rsid w:val="00474FCC"/>
    <w:rsid w:val="00476ED4"/>
    <w:rsid w:val="004773E0"/>
    <w:rsid w:val="00477E70"/>
    <w:rsid w:val="00480382"/>
    <w:rsid w:val="00480B7E"/>
    <w:rsid w:val="00481793"/>
    <w:rsid w:val="00481918"/>
    <w:rsid w:val="00483C87"/>
    <w:rsid w:val="00485032"/>
    <w:rsid w:val="00485E81"/>
    <w:rsid w:val="00491877"/>
    <w:rsid w:val="0049538B"/>
    <w:rsid w:val="004A071E"/>
    <w:rsid w:val="004A377F"/>
    <w:rsid w:val="004A64C4"/>
    <w:rsid w:val="004B19D0"/>
    <w:rsid w:val="004B3657"/>
    <w:rsid w:val="004B449A"/>
    <w:rsid w:val="004B6530"/>
    <w:rsid w:val="004B7DF8"/>
    <w:rsid w:val="004C032E"/>
    <w:rsid w:val="004C1583"/>
    <w:rsid w:val="004C1735"/>
    <w:rsid w:val="004C324F"/>
    <w:rsid w:val="004D10C4"/>
    <w:rsid w:val="004D2403"/>
    <w:rsid w:val="004D28CE"/>
    <w:rsid w:val="004D7413"/>
    <w:rsid w:val="004E24AA"/>
    <w:rsid w:val="004E37DE"/>
    <w:rsid w:val="004E6510"/>
    <w:rsid w:val="004E6B1A"/>
    <w:rsid w:val="004E711A"/>
    <w:rsid w:val="004F113C"/>
    <w:rsid w:val="004F369A"/>
    <w:rsid w:val="004F577D"/>
    <w:rsid w:val="00500667"/>
    <w:rsid w:val="005017AC"/>
    <w:rsid w:val="005019CD"/>
    <w:rsid w:val="00501C9B"/>
    <w:rsid w:val="0050253A"/>
    <w:rsid w:val="00502936"/>
    <w:rsid w:val="0050471A"/>
    <w:rsid w:val="005061A6"/>
    <w:rsid w:val="0050694F"/>
    <w:rsid w:val="00507652"/>
    <w:rsid w:val="00510524"/>
    <w:rsid w:val="00510EBA"/>
    <w:rsid w:val="00515F02"/>
    <w:rsid w:val="00517180"/>
    <w:rsid w:val="00517235"/>
    <w:rsid w:val="00523ED0"/>
    <w:rsid w:val="00524502"/>
    <w:rsid w:val="00525EA9"/>
    <w:rsid w:val="005266CB"/>
    <w:rsid w:val="005268D4"/>
    <w:rsid w:val="00527F01"/>
    <w:rsid w:val="005303C5"/>
    <w:rsid w:val="00531925"/>
    <w:rsid w:val="00532E8E"/>
    <w:rsid w:val="00532F5A"/>
    <w:rsid w:val="0053497A"/>
    <w:rsid w:val="00534C58"/>
    <w:rsid w:val="0053545C"/>
    <w:rsid w:val="00535CC7"/>
    <w:rsid w:val="00536AFA"/>
    <w:rsid w:val="00542811"/>
    <w:rsid w:val="0054377C"/>
    <w:rsid w:val="00547A38"/>
    <w:rsid w:val="005509C7"/>
    <w:rsid w:val="005533FA"/>
    <w:rsid w:val="00555BBF"/>
    <w:rsid w:val="0056331B"/>
    <w:rsid w:val="005645F2"/>
    <w:rsid w:val="00564CCD"/>
    <w:rsid w:val="00566508"/>
    <w:rsid w:val="00571621"/>
    <w:rsid w:val="005723F9"/>
    <w:rsid w:val="00575FD9"/>
    <w:rsid w:val="005760E7"/>
    <w:rsid w:val="0057632B"/>
    <w:rsid w:val="00576901"/>
    <w:rsid w:val="00584ED9"/>
    <w:rsid w:val="00585C49"/>
    <w:rsid w:val="005860A4"/>
    <w:rsid w:val="0058639A"/>
    <w:rsid w:val="00590532"/>
    <w:rsid w:val="00593AED"/>
    <w:rsid w:val="00593C4D"/>
    <w:rsid w:val="0059435A"/>
    <w:rsid w:val="00594AA2"/>
    <w:rsid w:val="00594D65"/>
    <w:rsid w:val="00594D74"/>
    <w:rsid w:val="00595090"/>
    <w:rsid w:val="00595EFA"/>
    <w:rsid w:val="00597E04"/>
    <w:rsid w:val="005A762B"/>
    <w:rsid w:val="005B278E"/>
    <w:rsid w:val="005B4614"/>
    <w:rsid w:val="005B494A"/>
    <w:rsid w:val="005B4DAF"/>
    <w:rsid w:val="005B50B2"/>
    <w:rsid w:val="005B6501"/>
    <w:rsid w:val="005B71E2"/>
    <w:rsid w:val="005C01CF"/>
    <w:rsid w:val="005C24D5"/>
    <w:rsid w:val="005C4811"/>
    <w:rsid w:val="005C72C4"/>
    <w:rsid w:val="005D1C2E"/>
    <w:rsid w:val="005D3BDE"/>
    <w:rsid w:val="005D4166"/>
    <w:rsid w:val="005D44A6"/>
    <w:rsid w:val="005D7CD4"/>
    <w:rsid w:val="005E3D78"/>
    <w:rsid w:val="005E3DB0"/>
    <w:rsid w:val="005E3DDF"/>
    <w:rsid w:val="005E7BC6"/>
    <w:rsid w:val="005F28E5"/>
    <w:rsid w:val="005F2B19"/>
    <w:rsid w:val="005F6510"/>
    <w:rsid w:val="00600383"/>
    <w:rsid w:val="00601336"/>
    <w:rsid w:val="00602F2B"/>
    <w:rsid w:val="00603333"/>
    <w:rsid w:val="0060446E"/>
    <w:rsid w:val="00610040"/>
    <w:rsid w:val="00613F19"/>
    <w:rsid w:val="00614046"/>
    <w:rsid w:val="00614DDF"/>
    <w:rsid w:val="006177FE"/>
    <w:rsid w:val="00617AAD"/>
    <w:rsid w:val="00621DA3"/>
    <w:rsid w:val="006225A0"/>
    <w:rsid w:val="00634439"/>
    <w:rsid w:val="006354AD"/>
    <w:rsid w:val="006354CE"/>
    <w:rsid w:val="00637EAD"/>
    <w:rsid w:val="00646956"/>
    <w:rsid w:val="00650011"/>
    <w:rsid w:val="00650987"/>
    <w:rsid w:val="00650B04"/>
    <w:rsid w:val="00651024"/>
    <w:rsid w:val="006545FC"/>
    <w:rsid w:val="006560B6"/>
    <w:rsid w:val="00657D12"/>
    <w:rsid w:val="00661B43"/>
    <w:rsid w:val="00661F26"/>
    <w:rsid w:val="006624D5"/>
    <w:rsid w:val="006629F5"/>
    <w:rsid w:val="00666392"/>
    <w:rsid w:val="006663AA"/>
    <w:rsid w:val="0066787C"/>
    <w:rsid w:val="00672387"/>
    <w:rsid w:val="00676C56"/>
    <w:rsid w:val="006777A0"/>
    <w:rsid w:val="006801C7"/>
    <w:rsid w:val="00680B42"/>
    <w:rsid w:val="00683D87"/>
    <w:rsid w:val="00683DC1"/>
    <w:rsid w:val="0068491D"/>
    <w:rsid w:val="006860C3"/>
    <w:rsid w:val="00686901"/>
    <w:rsid w:val="00686AF4"/>
    <w:rsid w:val="00691D36"/>
    <w:rsid w:val="0069591F"/>
    <w:rsid w:val="00697A29"/>
    <w:rsid w:val="006A0624"/>
    <w:rsid w:val="006A0AC5"/>
    <w:rsid w:val="006A2584"/>
    <w:rsid w:val="006A3B74"/>
    <w:rsid w:val="006A4866"/>
    <w:rsid w:val="006A4B02"/>
    <w:rsid w:val="006A4DA1"/>
    <w:rsid w:val="006A53AA"/>
    <w:rsid w:val="006A7449"/>
    <w:rsid w:val="006B11B3"/>
    <w:rsid w:val="006B2210"/>
    <w:rsid w:val="006B6726"/>
    <w:rsid w:val="006C0084"/>
    <w:rsid w:val="006C370C"/>
    <w:rsid w:val="006C4129"/>
    <w:rsid w:val="006C666A"/>
    <w:rsid w:val="006D1751"/>
    <w:rsid w:val="006D17CE"/>
    <w:rsid w:val="006D2429"/>
    <w:rsid w:val="006D2889"/>
    <w:rsid w:val="006D373C"/>
    <w:rsid w:val="006D52D4"/>
    <w:rsid w:val="006D5FC2"/>
    <w:rsid w:val="006D7A93"/>
    <w:rsid w:val="006E4038"/>
    <w:rsid w:val="006E433A"/>
    <w:rsid w:val="006E4ED0"/>
    <w:rsid w:val="006E7A87"/>
    <w:rsid w:val="006F26D3"/>
    <w:rsid w:val="006F463C"/>
    <w:rsid w:val="007023D5"/>
    <w:rsid w:val="00702973"/>
    <w:rsid w:val="00703BB2"/>
    <w:rsid w:val="0070698B"/>
    <w:rsid w:val="007072AF"/>
    <w:rsid w:val="007078FF"/>
    <w:rsid w:val="00710088"/>
    <w:rsid w:val="00710FD8"/>
    <w:rsid w:val="00714B14"/>
    <w:rsid w:val="00715A09"/>
    <w:rsid w:val="00716D5D"/>
    <w:rsid w:val="00717934"/>
    <w:rsid w:val="00721180"/>
    <w:rsid w:val="00722732"/>
    <w:rsid w:val="007234EF"/>
    <w:rsid w:val="007261E2"/>
    <w:rsid w:val="00726E23"/>
    <w:rsid w:val="00726EFB"/>
    <w:rsid w:val="00734641"/>
    <w:rsid w:val="00736EE3"/>
    <w:rsid w:val="00737F23"/>
    <w:rsid w:val="00741846"/>
    <w:rsid w:val="007419FA"/>
    <w:rsid w:val="0074261C"/>
    <w:rsid w:val="00744308"/>
    <w:rsid w:val="00745794"/>
    <w:rsid w:val="0074590C"/>
    <w:rsid w:val="0074677D"/>
    <w:rsid w:val="0074730D"/>
    <w:rsid w:val="00747CD1"/>
    <w:rsid w:val="00750473"/>
    <w:rsid w:val="007507FD"/>
    <w:rsid w:val="007521B9"/>
    <w:rsid w:val="0075237A"/>
    <w:rsid w:val="00753574"/>
    <w:rsid w:val="0075419E"/>
    <w:rsid w:val="0075536C"/>
    <w:rsid w:val="00755D53"/>
    <w:rsid w:val="007649E3"/>
    <w:rsid w:val="00764CD4"/>
    <w:rsid w:val="0076511C"/>
    <w:rsid w:val="00765DF1"/>
    <w:rsid w:val="00766FC2"/>
    <w:rsid w:val="007679E2"/>
    <w:rsid w:val="00767EB6"/>
    <w:rsid w:val="00770ABE"/>
    <w:rsid w:val="00770BFD"/>
    <w:rsid w:val="007754EC"/>
    <w:rsid w:val="007773D6"/>
    <w:rsid w:val="00780479"/>
    <w:rsid w:val="0078139E"/>
    <w:rsid w:val="00781844"/>
    <w:rsid w:val="007866BC"/>
    <w:rsid w:val="00786BDE"/>
    <w:rsid w:val="0078736C"/>
    <w:rsid w:val="00790F10"/>
    <w:rsid w:val="007915C9"/>
    <w:rsid w:val="00791F16"/>
    <w:rsid w:val="00794E92"/>
    <w:rsid w:val="007955EC"/>
    <w:rsid w:val="00797A0B"/>
    <w:rsid w:val="00797AE5"/>
    <w:rsid w:val="007A1869"/>
    <w:rsid w:val="007A25B4"/>
    <w:rsid w:val="007A31C2"/>
    <w:rsid w:val="007A41BC"/>
    <w:rsid w:val="007A5040"/>
    <w:rsid w:val="007A568E"/>
    <w:rsid w:val="007A69AF"/>
    <w:rsid w:val="007A6B05"/>
    <w:rsid w:val="007A76E5"/>
    <w:rsid w:val="007A7EDB"/>
    <w:rsid w:val="007B29ED"/>
    <w:rsid w:val="007B58E8"/>
    <w:rsid w:val="007B6229"/>
    <w:rsid w:val="007B648C"/>
    <w:rsid w:val="007B6D6D"/>
    <w:rsid w:val="007B77EA"/>
    <w:rsid w:val="007C00CE"/>
    <w:rsid w:val="007C08BF"/>
    <w:rsid w:val="007C2465"/>
    <w:rsid w:val="007C38BC"/>
    <w:rsid w:val="007C40AD"/>
    <w:rsid w:val="007C414F"/>
    <w:rsid w:val="007C42AB"/>
    <w:rsid w:val="007C5762"/>
    <w:rsid w:val="007C649E"/>
    <w:rsid w:val="007D0E59"/>
    <w:rsid w:val="007D264C"/>
    <w:rsid w:val="007D2994"/>
    <w:rsid w:val="007D3682"/>
    <w:rsid w:val="007D48EC"/>
    <w:rsid w:val="007D65DB"/>
    <w:rsid w:val="007D7088"/>
    <w:rsid w:val="007E0023"/>
    <w:rsid w:val="007E171C"/>
    <w:rsid w:val="007E2021"/>
    <w:rsid w:val="007E60FA"/>
    <w:rsid w:val="007F070C"/>
    <w:rsid w:val="007F0C64"/>
    <w:rsid w:val="007F1209"/>
    <w:rsid w:val="007F2B92"/>
    <w:rsid w:val="007F4749"/>
    <w:rsid w:val="007F6979"/>
    <w:rsid w:val="007F7626"/>
    <w:rsid w:val="007F7A36"/>
    <w:rsid w:val="00800B05"/>
    <w:rsid w:val="00801A1D"/>
    <w:rsid w:val="00804C65"/>
    <w:rsid w:val="008062A3"/>
    <w:rsid w:val="00807F21"/>
    <w:rsid w:val="00811EE1"/>
    <w:rsid w:val="008122E0"/>
    <w:rsid w:val="0081382F"/>
    <w:rsid w:val="008150C7"/>
    <w:rsid w:val="0081520B"/>
    <w:rsid w:val="00816A7C"/>
    <w:rsid w:val="00817999"/>
    <w:rsid w:val="0082169D"/>
    <w:rsid w:val="00822B8C"/>
    <w:rsid w:val="00823823"/>
    <w:rsid w:val="00827921"/>
    <w:rsid w:val="00827E45"/>
    <w:rsid w:val="008320E0"/>
    <w:rsid w:val="0083218E"/>
    <w:rsid w:val="00832C3B"/>
    <w:rsid w:val="00833342"/>
    <w:rsid w:val="008339AF"/>
    <w:rsid w:val="00833C9E"/>
    <w:rsid w:val="00836098"/>
    <w:rsid w:val="008411D6"/>
    <w:rsid w:val="008435A9"/>
    <w:rsid w:val="008448EC"/>
    <w:rsid w:val="00844CD5"/>
    <w:rsid w:val="00846045"/>
    <w:rsid w:val="00851F31"/>
    <w:rsid w:val="00852D2D"/>
    <w:rsid w:val="00856F89"/>
    <w:rsid w:val="00857EAC"/>
    <w:rsid w:val="008606F6"/>
    <w:rsid w:val="008618CC"/>
    <w:rsid w:val="00867CC7"/>
    <w:rsid w:val="008705E6"/>
    <w:rsid w:val="008710B1"/>
    <w:rsid w:val="00871276"/>
    <w:rsid w:val="00872D92"/>
    <w:rsid w:val="008734E5"/>
    <w:rsid w:val="0087362D"/>
    <w:rsid w:val="00873845"/>
    <w:rsid w:val="00874BF1"/>
    <w:rsid w:val="00875172"/>
    <w:rsid w:val="00876A92"/>
    <w:rsid w:val="00880DE5"/>
    <w:rsid w:val="00882AD6"/>
    <w:rsid w:val="0088306D"/>
    <w:rsid w:val="00884196"/>
    <w:rsid w:val="00885D2C"/>
    <w:rsid w:val="00886B01"/>
    <w:rsid w:val="00886BE9"/>
    <w:rsid w:val="00886CF2"/>
    <w:rsid w:val="00887D2B"/>
    <w:rsid w:val="00890C7F"/>
    <w:rsid w:val="00894B6A"/>
    <w:rsid w:val="00895ECB"/>
    <w:rsid w:val="00896D7D"/>
    <w:rsid w:val="00897313"/>
    <w:rsid w:val="008A0262"/>
    <w:rsid w:val="008A04DD"/>
    <w:rsid w:val="008A31E4"/>
    <w:rsid w:val="008A4ABE"/>
    <w:rsid w:val="008A6D36"/>
    <w:rsid w:val="008B0F25"/>
    <w:rsid w:val="008B1CB8"/>
    <w:rsid w:val="008B1F4F"/>
    <w:rsid w:val="008B24E9"/>
    <w:rsid w:val="008B2A55"/>
    <w:rsid w:val="008B41E7"/>
    <w:rsid w:val="008B7161"/>
    <w:rsid w:val="008B78CC"/>
    <w:rsid w:val="008C010C"/>
    <w:rsid w:val="008C24D2"/>
    <w:rsid w:val="008C2E69"/>
    <w:rsid w:val="008C3B6E"/>
    <w:rsid w:val="008C3EDB"/>
    <w:rsid w:val="008C583A"/>
    <w:rsid w:val="008C5C4C"/>
    <w:rsid w:val="008C66F0"/>
    <w:rsid w:val="008C6B31"/>
    <w:rsid w:val="008C6D35"/>
    <w:rsid w:val="008C709E"/>
    <w:rsid w:val="008C7B24"/>
    <w:rsid w:val="008D0C35"/>
    <w:rsid w:val="008D1A90"/>
    <w:rsid w:val="008D1B1E"/>
    <w:rsid w:val="008D3FFF"/>
    <w:rsid w:val="008D608A"/>
    <w:rsid w:val="008D60FB"/>
    <w:rsid w:val="008E0134"/>
    <w:rsid w:val="008E1359"/>
    <w:rsid w:val="008E1FAD"/>
    <w:rsid w:val="008E4257"/>
    <w:rsid w:val="008E4D23"/>
    <w:rsid w:val="008E6255"/>
    <w:rsid w:val="008E6429"/>
    <w:rsid w:val="008E7D9D"/>
    <w:rsid w:val="008F2207"/>
    <w:rsid w:val="008F7B33"/>
    <w:rsid w:val="008F7DE7"/>
    <w:rsid w:val="00900BBE"/>
    <w:rsid w:val="00901BB1"/>
    <w:rsid w:val="00902F55"/>
    <w:rsid w:val="00907E01"/>
    <w:rsid w:val="0091291A"/>
    <w:rsid w:val="00913885"/>
    <w:rsid w:val="00913B9F"/>
    <w:rsid w:val="00913ED7"/>
    <w:rsid w:val="00914A29"/>
    <w:rsid w:val="00920490"/>
    <w:rsid w:val="00921372"/>
    <w:rsid w:val="00921413"/>
    <w:rsid w:val="0092186A"/>
    <w:rsid w:val="00922C46"/>
    <w:rsid w:val="0092487B"/>
    <w:rsid w:val="0092546F"/>
    <w:rsid w:val="00925781"/>
    <w:rsid w:val="00926512"/>
    <w:rsid w:val="0093090B"/>
    <w:rsid w:val="0093303C"/>
    <w:rsid w:val="00934875"/>
    <w:rsid w:val="0093495B"/>
    <w:rsid w:val="0093529E"/>
    <w:rsid w:val="0093562B"/>
    <w:rsid w:val="0093600A"/>
    <w:rsid w:val="00936197"/>
    <w:rsid w:val="009366F1"/>
    <w:rsid w:val="00936DA4"/>
    <w:rsid w:val="00936FE5"/>
    <w:rsid w:val="009372BB"/>
    <w:rsid w:val="00937C2E"/>
    <w:rsid w:val="00941207"/>
    <w:rsid w:val="0094167E"/>
    <w:rsid w:val="009427BC"/>
    <w:rsid w:val="009449DE"/>
    <w:rsid w:val="00944CA1"/>
    <w:rsid w:val="00945F45"/>
    <w:rsid w:val="0094777C"/>
    <w:rsid w:val="009477CB"/>
    <w:rsid w:val="00947EF9"/>
    <w:rsid w:val="00963026"/>
    <w:rsid w:val="009673D6"/>
    <w:rsid w:val="009713A9"/>
    <w:rsid w:val="00972958"/>
    <w:rsid w:val="00973519"/>
    <w:rsid w:val="00973ED3"/>
    <w:rsid w:val="00977243"/>
    <w:rsid w:val="0098061A"/>
    <w:rsid w:val="009810ED"/>
    <w:rsid w:val="00981F57"/>
    <w:rsid w:val="009867B0"/>
    <w:rsid w:val="00986FB7"/>
    <w:rsid w:val="00990D64"/>
    <w:rsid w:val="00990DBF"/>
    <w:rsid w:val="00990DF8"/>
    <w:rsid w:val="00992331"/>
    <w:rsid w:val="00992EF5"/>
    <w:rsid w:val="00993E0F"/>
    <w:rsid w:val="0099565C"/>
    <w:rsid w:val="009A0239"/>
    <w:rsid w:val="009A3386"/>
    <w:rsid w:val="009A374B"/>
    <w:rsid w:val="009A38FB"/>
    <w:rsid w:val="009A3AC1"/>
    <w:rsid w:val="009A5841"/>
    <w:rsid w:val="009A5FBB"/>
    <w:rsid w:val="009A63D2"/>
    <w:rsid w:val="009A7C0E"/>
    <w:rsid w:val="009B1A1F"/>
    <w:rsid w:val="009B2524"/>
    <w:rsid w:val="009B277F"/>
    <w:rsid w:val="009B2D61"/>
    <w:rsid w:val="009B545C"/>
    <w:rsid w:val="009B5770"/>
    <w:rsid w:val="009B589A"/>
    <w:rsid w:val="009B770D"/>
    <w:rsid w:val="009C0AF0"/>
    <w:rsid w:val="009C0B9F"/>
    <w:rsid w:val="009C385D"/>
    <w:rsid w:val="009D073E"/>
    <w:rsid w:val="009D1F11"/>
    <w:rsid w:val="009D2F14"/>
    <w:rsid w:val="009D3CA4"/>
    <w:rsid w:val="009D444B"/>
    <w:rsid w:val="009D4C6E"/>
    <w:rsid w:val="009D54A1"/>
    <w:rsid w:val="009D57BC"/>
    <w:rsid w:val="009D5ADC"/>
    <w:rsid w:val="009D7C09"/>
    <w:rsid w:val="009E0530"/>
    <w:rsid w:val="009E0909"/>
    <w:rsid w:val="009E654A"/>
    <w:rsid w:val="009E7F3F"/>
    <w:rsid w:val="009F0617"/>
    <w:rsid w:val="009F244F"/>
    <w:rsid w:val="009F28B5"/>
    <w:rsid w:val="009F798B"/>
    <w:rsid w:val="00A007BC"/>
    <w:rsid w:val="00A02AC1"/>
    <w:rsid w:val="00A03450"/>
    <w:rsid w:val="00A0530C"/>
    <w:rsid w:val="00A1083D"/>
    <w:rsid w:val="00A110F2"/>
    <w:rsid w:val="00A11F3B"/>
    <w:rsid w:val="00A13151"/>
    <w:rsid w:val="00A14D69"/>
    <w:rsid w:val="00A152E7"/>
    <w:rsid w:val="00A15624"/>
    <w:rsid w:val="00A17C8E"/>
    <w:rsid w:val="00A225F7"/>
    <w:rsid w:val="00A23106"/>
    <w:rsid w:val="00A23341"/>
    <w:rsid w:val="00A23DDC"/>
    <w:rsid w:val="00A24947"/>
    <w:rsid w:val="00A25D3C"/>
    <w:rsid w:val="00A2648F"/>
    <w:rsid w:val="00A27588"/>
    <w:rsid w:val="00A32B20"/>
    <w:rsid w:val="00A33032"/>
    <w:rsid w:val="00A338BD"/>
    <w:rsid w:val="00A40523"/>
    <w:rsid w:val="00A41656"/>
    <w:rsid w:val="00A432EC"/>
    <w:rsid w:val="00A44748"/>
    <w:rsid w:val="00A44EBF"/>
    <w:rsid w:val="00A4796A"/>
    <w:rsid w:val="00A505BC"/>
    <w:rsid w:val="00A508BC"/>
    <w:rsid w:val="00A50BA1"/>
    <w:rsid w:val="00A53E68"/>
    <w:rsid w:val="00A57453"/>
    <w:rsid w:val="00A576F2"/>
    <w:rsid w:val="00A60C64"/>
    <w:rsid w:val="00A621DD"/>
    <w:rsid w:val="00A64640"/>
    <w:rsid w:val="00A663DF"/>
    <w:rsid w:val="00A67B8D"/>
    <w:rsid w:val="00A70DA1"/>
    <w:rsid w:val="00A70F7B"/>
    <w:rsid w:val="00A72B92"/>
    <w:rsid w:val="00A73513"/>
    <w:rsid w:val="00A753C9"/>
    <w:rsid w:val="00A75C47"/>
    <w:rsid w:val="00A77D29"/>
    <w:rsid w:val="00A81143"/>
    <w:rsid w:val="00A813F2"/>
    <w:rsid w:val="00A83842"/>
    <w:rsid w:val="00A86510"/>
    <w:rsid w:val="00A902CD"/>
    <w:rsid w:val="00A906E9"/>
    <w:rsid w:val="00A9195C"/>
    <w:rsid w:val="00A92382"/>
    <w:rsid w:val="00A938DF"/>
    <w:rsid w:val="00A946EF"/>
    <w:rsid w:val="00AA1F94"/>
    <w:rsid w:val="00AA20CC"/>
    <w:rsid w:val="00AA3B0C"/>
    <w:rsid w:val="00AA4E77"/>
    <w:rsid w:val="00AA5B9B"/>
    <w:rsid w:val="00AA767A"/>
    <w:rsid w:val="00AB153D"/>
    <w:rsid w:val="00AB494E"/>
    <w:rsid w:val="00AB5245"/>
    <w:rsid w:val="00AB6C06"/>
    <w:rsid w:val="00AB7C4C"/>
    <w:rsid w:val="00AC0B58"/>
    <w:rsid w:val="00AC3D25"/>
    <w:rsid w:val="00AC45FF"/>
    <w:rsid w:val="00AC4F3F"/>
    <w:rsid w:val="00AC54BB"/>
    <w:rsid w:val="00AC6316"/>
    <w:rsid w:val="00AC6D58"/>
    <w:rsid w:val="00AD1AD6"/>
    <w:rsid w:val="00AD4196"/>
    <w:rsid w:val="00AD7FB7"/>
    <w:rsid w:val="00AE3105"/>
    <w:rsid w:val="00AE3479"/>
    <w:rsid w:val="00AE6CCC"/>
    <w:rsid w:val="00AF2C18"/>
    <w:rsid w:val="00AF329F"/>
    <w:rsid w:val="00AF4133"/>
    <w:rsid w:val="00AF4494"/>
    <w:rsid w:val="00AF4EF5"/>
    <w:rsid w:val="00AF5207"/>
    <w:rsid w:val="00AF5994"/>
    <w:rsid w:val="00AF5DA2"/>
    <w:rsid w:val="00B012D6"/>
    <w:rsid w:val="00B02D71"/>
    <w:rsid w:val="00B065A9"/>
    <w:rsid w:val="00B10DF8"/>
    <w:rsid w:val="00B10FF3"/>
    <w:rsid w:val="00B125BF"/>
    <w:rsid w:val="00B149AB"/>
    <w:rsid w:val="00B15E47"/>
    <w:rsid w:val="00B16373"/>
    <w:rsid w:val="00B20BEC"/>
    <w:rsid w:val="00B216FC"/>
    <w:rsid w:val="00B228F0"/>
    <w:rsid w:val="00B31C34"/>
    <w:rsid w:val="00B32CD9"/>
    <w:rsid w:val="00B32EFD"/>
    <w:rsid w:val="00B34AB9"/>
    <w:rsid w:val="00B358D4"/>
    <w:rsid w:val="00B36155"/>
    <w:rsid w:val="00B4292A"/>
    <w:rsid w:val="00B42A53"/>
    <w:rsid w:val="00B451D0"/>
    <w:rsid w:val="00B45564"/>
    <w:rsid w:val="00B4557D"/>
    <w:rsid w:val="00B51A90"/>
    <w:rsid w:val="00B51B6E"/>
    <w:rsid w:val="00B526A5"/>
    <w:rsid w:val="00B52B14"/>
    <w:rsid w:val="00B5382E"/>
    <w:rsid w:val="00B53E2E"/>
    <w:rsid w:val="00B554F9"/>
    <w:rsid w:val="00B5557A"/>
    <w:rsid w:val="00B573B3"/>
    <w:rsid w:val="00B61290"/>
    <w:rsid w:val="00B64366"/>
    <w:rsid w:val="00B64F46"/>
    <w:rsid w:val="00B658E3"/>
    <w:rsid w:val="00B6660D"/>
    <w:rsid w:val="00B677FF"/>
    <w:rsid w:val="00B712B2"/>
    <w:rsid w:val="00B73CDF"/>
    <w:rsid w:val="00B73E72"/>
    <w:rsid w:val="00B773C3"/>
    <w:rsid w:val="00B77C7D"/>
    <w:rsid w:val="00B82C96"/>
    <w:rsid w:val="00B83A01"/>
    <w:rsid w:val="00B83F6E"/>
    <w:rsid w:val="00B86DD9"/>
    <w:rsid w:val="00B876A1"/>
    <w:rsid w:val="00B912B5"/>
    <w:rsid w:val="00B9235B"/>
    <w:rsid w:val="00B92E79"/>
    <w:rsid w:val="00B93550"/>
    <w:rsid w:val="00B9428C"/>
    <w:rsid w:val="00B94572"/>
    <w:rsid w:val="00B94D91"/>
    <w:rsid w:val="00BA060D"/>
    <w:rsid w:val="00BA12A9"/>
    <w:rsid w:val="00BA1671"/>
    <w:rsid w:val="00BA3F62"/>
    <w:rsid w:val="00BA3FA3"/>
    <w:rsid w:val="00BA551F"/>
    <w:rsid w:val="00BA6E79"/>
    <w:rsid w:val="00BA7317"/>
    <w:rsid w:val="00BB113E"/>
    <w:rsid w:val="00BB2F7F"/>
    <w:rsid w:val="00BB50E1"/>
    <w:rsid w:val="00BB589F"/>
    <w:rsid w:val="00BC2BA1"/>
    <w:rsid w:val="00BC36D4"/>
    <w:rsid w:val="00BC3F92"/>
    <w:rsid w:val="00BC4ADE"/>
    <w:rsid w:val="00BC527E"/>
    <w:rsid w:val="00BC7202"/>
    <w:rsid w:val="00BD0A5B"/>
    <w:rsid w:val="00BD0B8B"/>
    <w:rsid w:val="00BD2DB7"/>
    <w:rsid w:val="00BD4ACE"/>
    <w:rsid w:val="00BD7A40"/>
    <w:rsid w:val="00BD7B8D"/>
    <w:rsid w:val="00BE1023"/>
    <w:rsid w:val="00BE2ABD"/>
    <w:rsid w:val="00BE2C53"/>
    <w:rsid w:val="00BE344E"/>
    <w:rsid w:val="00BE4C8D"/>
    <w:rsid w:val="00BE6175"/>
    <w:rsid w:val="00BE75F3"/>
    <w:rsid w:val="00BF1498"/>
    <w:rsid w:val="00BF2500"/>
    <w:rsid w:val="00BF2D19"/>
    <w:rsid w:val="00BF3757"/>
    <w:rsid w:val="00BF5C71"/>
    <w:rsid w:val="00BF6733"/>
    <w:rsid w:val="00BF799C"/>
    <w:rsid w:val="00C01099"/>
    <w:rsid w:val="00C022E6"/>
    <w:rsid w:val="00C04E6E"/>
    <w:rsid w:val="00C05C9B"/>
    <w:rsid w:val="00C12EC7"/>
    <w:rsid w:val="00C12F05"/>
    <w:rsid w:val="00C1405A"/>
    <w:rsid w:val="00C15272"/>
    <w:rsid w:val="00C164E1"/>
    <w:rsid w:val="00C17C55"/>
    <w:rsid w:val="00C17D3D"/>
    <w:rsid w:val="00C23F01"/>
    <w:rsid w:val="00C303AA"/>
    <w:rsid w:val="00C30C7F"/>
    <w:rsid w:val="00C326CC"/>
    <w:rsid w:val="00C33A44"/>
    <w:rsid w:val="00C33F6F"/>
    <w:rsid w:val="00C3419C"/>
    <w:rsid w:val="00C34F26"/>
    <w:rsid w:val="00C3574C"/>
    <w:rsid w:val="00C36108"/>
    <w:rsid w:val="00C36270"/>
    <w:rsid w:val="00C3779C"/>
    <w:rsid w:val="00C37CA8"/>
    <w:rsid w:val="00C37E55"/>
    <w:rsid w:val="00C37F37"/>
    <w:rsid w:val="00C40824"/>
    <w:rsid w:val="00C42D6A"/>
    <w:rsid w:val="00C45388"/>
    <w:rsid w:val="00C458F9"/>
    <w:rsid w:val="00C45E6C"/>
    <w:rsid w:val="00C46830"/>
    <w:rsid w:val="00C469D9"/>
    <w:rsid w:val="00C507FD"/>
    <w:rsid w:val="00C51180"/>
    <w:rsid w:val="00C516EC"/>
    <w:rsid w:val="00C51C37"/>
    <w:rsid w:val="00C5351A"/>
    <w:rsid w:val="00C54206"/>
    <w:rsid w:val="00C557F6"/>
    <w:rsid w:val="00C605A9"/>
    <w:rsid w:val="00C66CEC"/>
    <w:rsid w:val="00C66F91"/>
    <w:rsid w:val="00C67C88"/>
    <w:rsid w:val="00C700F8"/>
    <w:rsid w:val="00C72A27"/>
    <w:rsid w:val="00C74921"/>
    <w:rsid w:val="00C74A64"/>
    <w:rsid w:val="00C76050"/>
    <w:rsid w:val="00C82681"/>
    <w:rsid w:val="00C86E87"/>
    <w:rsid w:val="00C87601"/>
    <w:rsid w:val="00C92C7B"/>
    <w:rsid w:val="00CA17AA"/>
    <w:rsid w:val="00CA1DC1"/>
    <w:rsid w:val="00CA4E0D"/>
    <w:rsid w:val="00CA69C4"/>
    <w:rsid w:val="00CA70EA"/>
    <w:rsid w:val="00CA7BC6"/>
    <w:rsid w:val="00CA7EC2"/>
    <w:rsid w:val="00CB1DE7"/>
    <w:rsid w:val="00CB512D"/>
    <w:rsid w:val="00CB57C7"/>
    <w:rsid w:val="00CB6A5F"/>
    <w:rsid w:val="00CC75A0"/>
    <w:rsid w:val="00CD5B53"/>
    <w:rsid w:val="00CD783F"/>
    <w:rsid w:val="00CD7AFF"/>
    <w:rsid w:val="00CD7B2F"/>
    <w:rsid w:val="00CE04ED"/>
    <w:rsid w:val="00CE06E1"/>
    <w:rsid w:val="00CE0F62"/>
    <w:rsid w:val="00CE125B"/>
    <w:rsid w:val="00CE1980"/>
    <w:rsid w:val="00CE326A"/>
    <w:rsid w:val="00CE3BBB"/>
    <w:rsid w:val="00CE5C96"/>
    <w:rsid w:val="00CE6C91"/>
    <w:rsid w:val="00CF03AC"/>
    <w:rsid w:val="00CF1F00"/>
    <w:rsid w:val="00CF25AD"/>
    <w:rsid w:val="00CF4806"/>
    <w:rsid w:val="00CF7CF2"/>
    <w:rsid w:val="00D0011E"/>
    <w:rsid w:val="00D00C71"/>
    <w:rsid w:val="00D0455E"/>
    <w:rsid w:val="00D04A58"/>
    <w:rsid w:val="00D04E62"/>
    <w:rsid w:val="00D054E7"/>
    <w:rsid w:val="00D064B2"/>
    <w:rsid w:val="00D07294"/>
    <w:rsid w:val="00D10A2C"/>
    <w:rsid w:val="00D12A8F"/>
    <w:rsid w:val="00D13700"/>
    <w:rsid w:val="00D14B88"/>
    <w:rsid w:val="00D14FC1"/>
    <w:rsid w:val="00D20B27"/>
    <w:rsid w:val="00D22853"/>
    <w:rsid w:val="00D23674"/>
    <w:rsid w:val="00D27C1A"/>
    <w:rsid w:val="00D307A1"/>
    <w:rsid w:val="00D30CE2"/>
    <w:rsid w:val="00D34D04"/>
    <w:rsid w:val="00D356BE"/>
    <w:rsid w:val="00D3609D"/>
    <w:rsid w:val="00D415F5"/>
    <w:rsid w:val="00D41F8B"/>
    <w:rsid w:val="00D4466A"/>
    <w:rsid w:val="00D46E2D"/>
    <w:rsid w:val="00D46F4F"/>
    <w:rsid w:val="00D54ECE"/>
    <w:rsid w:val="00D6189E"/>
    <w:rsid w:val="00D62218"/>
    <w:rsid w:val="00D647FE"/>
    <w:rsid w:val="00D672DD"/>
    <w:rsid w:val="00D672FD"/>
    <w:rsid w:val="00D67559"/>
    <w:rsid w:val="00D70628"/>
    <w:rsid w:val="00D71756"/>
    <w:rsid w:val="00D72494"/>
    <w:rsid w:val="00D73BA7"/>
    <w:rsid w:val="00D75A24"/>
    <w:rsid w:val="00D7723E"/>
    <w:rsid w:val="00D77A71"/>
    <w:rsid w:val="00D832A8"/>
    <w:rsid w:val="00D84249"/>
    <w:rsid w:val="00D8505D"/>
    <w:rsid w:val="00D900D0"/>
    <w:rsid w:val="00D903F2"/>
    <w:rsid w:val="00D917C1"/>
    <w:rsid w:val="00D91E9A"/>
    <w:rsid w:val="00D944AB"/>
    <w:rsid w:val="00D9458D"/>
    <w:rsid w:val="00DA254A"/>
    <w:rsid w:val="00DA2E95"/>
    <w:rsid w:val="00DA3188"/>
    <w:rsid w:val="00DA330F"/>
    <w:rsid w:val="00DA4ABA"/>
    <w:rsid w:val="00DA4E28"/>
    <w:rsid w:val="00DA6712"/>
    <w:rsid w:val="00DA6E85"/>
    <w:rsid w:val="00DB0807"/>
    <w:rsid w:val="00DB1E20"/>
    <w:rsid w:val="00DB2829"/>
    <w:rsid w:val="00DB5041"/>
    <w:rsid w:val="00DB533A"/>
    <w:rsid w:val="00DB6A27"/>
    <w:rsid w:val="00DB6DA3"/>
    <w:rsid w:val="00DB7A2C"/>
    <w:rsid w:val="00DB7F6E"/>
    <w:rsid w:val="00DC05C4"/>
    <w:rsid w:val="00DC0C40"/>
    <w:rsid w:val="00DC1F75"/>
    <w:rsid w:val="00DC2B15"/>
    <w:rsid w:val="00DC3D18"/>
    <w:rsid w:val="00DC4785"/>
    <w:rsid w:val="00DC5110"/>
    <w:rsid w:val="00DC5AB8"/>
    <w:rsid w:val="00DC705B"/>
    <w:rsid w:val="00DC7155"/>
    <w:rsid w:val="00DD3DF6"/>
    <w:rsid w:val="00DD4635"/>
    <w:rsid w:val="00DD46C8"/>
    <w:rsid w:val="00DD4D24"/>
    <w:rsid w:val="00DD6588"/>
    <w:rsid w:val="00DD75CD"/>
    <w:rsid w:val="00DD7C87"/>
    <w:rsid w:val="00DE17AA"/>
    <w:rsid w:val="00DE1FB3"/>
    <w:rsid w:val="00DE690F"/>
    <w:rsid w:val="00DF0AD7"/>
    <w:rsid w:val="00DF0B92"/>
    <w:rsid w:val="00DF35D9"/>
    <w:rsid w:val="00DF3C73"/>
    <w:rsid w:val="00E01031"/>
    <w:rsid w:val="00E02314"/>
    <w:rsid w:val="00E023C7"/>
    <w:rsid w:val="00E02637"/>
    <w:rsid w:val="00E02D06"/>
    <w:rsid w:val="00E0326B"/>
    <w:rsid w:val="00E03A3F"/>
    <w:rsid w:val="00E064CC"/>
    <w:rsid w:val="00E06EF4"/>
    <w:rsid w:val="00E06EF5"/>
    <w:rsid w:val="00E10A8F"/>
    <w:rsid w:val="00E10BDA"/>
    <w:rsid w:val="00E10FCB"/>
    <w:rsid w:val="00E128FB"/>
    <w:rsid w:val="00E12FC5"/>
    <w:rsid w:val="00E1315E"/>
    <w:rsid w:val="00E146B5"/>
    <w:rsid w:val="00E14E36"/>
    <w:rsid w:val="00E1594D"/>
    <w:rsid w:val="00E17485"/>
    <w:rsid w:val="00E1758C"/>
    <w:rsid w:val="00E22402"/>
    <w:rsid w:val="00E2373B"/>
    <w:rsid w:val="00E244FC"/>
    <w:rsid w:val="00E24A18"/>
    <w:rsid w:val="00E25816"/>
    <w:rsid w:val="00E268CA"/>
    <w:rsid w:val="00E274C0"/>
    <w:rsid w:val="00E27A7E"/>
    <w:rsid w:val="00E27A9D"/>
    <w:rsid w:val="00E30090"/>
    <w:rsid w:val="00E30975"/>
    <w:rsid w:val="00E361FA"/>
    <w:rsid w:val="00E430B8"/>
    <w:rsid w:val="00E4481D"/>
    <w:rsid w:val="00E4488C"/>
    <w:rsid w:val="00E4497A"/>
    <w:rsid w:val="00E45E07"/>
    <w:rsid w:val="00E461D6"/>
    <w:rsid w:val="00E50C8C"/>
    <w:rsid w:val="00E50E00"/>
    <w:rsid w:val="00E51DC1"/>
    <w:rsid w:val="00E51E3E"/>
    <w:rsid w:val="00E526B9"/>
    <w:rsid w:val="00E53239"/>
    <w:rsid w:val="00E54BF1"/>
    <w:rsid w:val="00E55957"/>
    <w:rsid w:val="00E63379"/>
    <w:rsid w:val="00E65D57"/>
    <w:rsid w:val="00E66C3D"/>
    <w:rsid w:val="00E66C51"/>
    <w:rsid w:val="00E703A1"/>
    <w:rsid w:val="00E70583"/>
    <w:rsid w:val="00E719CB"/>
    <w:rsid w:val="00E746EE"/>
    <w:rsid w:val="00E76C1E"/>
    <w:rsid w:val="00E801E9"/>
    <w:rsid w:val="00E8445B"/>
    <w:rsid w:val="00E85F62"/>
    <w:rsid w:val="00E86808"/>
    <w:rsid w:val="00E900F8"/>
    <w:rsid w:val="00E90ECA"/>
    <w:rsid w:val="00EA2237"/>
    <w:rsid w:val="00EA4807"/>
    <w:rsid w:val="00EA57B2"/>
    <w:rsid w:val="00EA5839"/>
    <w:rsid w:val="00EA5DF5"/>
    <w:rsid w:val="00EB3B3A"/>
    <w:rsid w:val="00EB4B9C"/>
    <w:rsid w:val="00EB6DA8"/>
    <w:rsid w:val="00EC065F"/>
    <w:rsid w:val="00EC1C7C"/>
    <w:rsid w:val="00EC1CF4"/>
    <w:rsid w:val="00EC1F4E"/>
    <w:rsid w:val="00EC3651"/>
    <w:rsid w:val="00EC401C"/>
    <w:rsid w:val="00EC66B1"/>
    <w:rsid w:val="00EC709E"/>
    <w:rsid w:val="00EC7CB0"/>
    <w:rsid w:val="00ED1802"/>
    <w:rsid w:val="00ED2E4E"/>
    <w:rsid w:val="00ED46B0"/>
    <w:rsid w:val="00ED485A"/>
    <w:rsid w:val="00ED4F58"/>
    <w:rsid w:val="00ED6718"/>
    <w:rsid w:val="00EE05E7"/>
    <w:rsid w:val="00EE1093"/>
    <w:rsid w:val="00EE3C3E"/>
    <w:rsid w:val="00EE4160"/>
    <w:rsid w:val="00EE5B4B"/>
    <w:rsid w:val="00EE6098"/>
    <w:rsid w:val="00EE7A47"/>
    <w:rsid w:val="00EF1B20"/>
    <w:rsid w:val="00EF2556"/>
    <w:rsid w:val="00EF392A"/>
    <w:rsid w:val="00EF4452"/>
    <w:rsid w:val="00EF4799"/>
    <w:rsid w:val="00EF4A33"/>
    <w:rsid w:val="00EF5B64"/>
    <w:rsid w:val="00EF5B85"/>
    <w:rsid w:val="00EF654D"/>
    <w:rsid w:val="00EF7EE6"/>
    <w:rsid w:val="00F062DC"/>
    <w:rsid w:val="00F079AC"/>
    <w:rsid w:val="00F07E2C"/>
    <w:rsid w:val="00F10F66"/>
    <w:rsid w:val="00F12310"/>
    <w:rsid w:val="00F1333B"/>
    <w:rsid w:val="00F15F4D"/>
    <w:rsid w:val="00F16C83"/>
    <w:rsid w:val="00F171B5"/>
    <w:rsid w:val="00F17E81"/>
    <w:rsid w:val="00F21140"/>
    <w:rsid w:val="00F23665"/>
    <w:rsid w:val="00F25CEF"/>
    <w:rsid w:val="00F25DFF"/>
    <w:rsid w:val="00F26096"/>
    <w:rsid w:val="00F265F5"/>
    <w:rsid w:val="00F266F5"/>
    <w:rsid w:val="00F317A6"/>
    <w:rsid w:val="00F4507C"/>
    <w:rsid w:val="00F454B5"/>
    <w:rsid w:val="00F46651"/>
    <w:rsid w:val="00F46D18"/>
    <w:rsid w:val="00F50429"/>
    <w:rsid w:val="00F5264C"/>
    <w:rsid w:val="00F52993"/>
    <w:rsid w:val="00F56789"/>
    <w:rsid w:val="00F569C8"/>
    <w:rsid w:val="00F56D46"/>
    <w:rsid w:val="00F57B31"/>
    <w:rsid w:val="00F61D9D"/>
    <w:rsid w:val="00F66E9D"/>
    <w:rsid w:val="00F75382"/>
    <w:rsid w:val="00F760C1"/>
    <w:rsid w:val="00F81076"/>
    <w:rsid w:val="00F814A3"/>
    <w:rsid w:val="00F84E98"/>
    <w:rsid w:val="00F85433"/>
    <w:rsid w:val="00F90E38"/>
    <w:rsid w:val="00F92754"/>
    <w:rsid w:val="00F92A94"/>
    <w:rsid w:val="00F94440"/>
    <w:rsid w:val="00F968D3"/>
    <w:rsid w:val="00F97382"/>
    <w:rsid w:val="00F9781B"/>
    <w:rsid w:val="00FA24A0"/>
    <w:rsid w:val="00FA2ECA"/>
    <w:rsid w:val="00FA2FB4"/>
    <w:rsid w:val="00FA340A"/>
    <w:rsid w:val="00FA3A35"/>
    <w:rsid w:val="00FA5DF9"/>
    <w:rsid w:val="00FA7109"/>
    <w:rsid w:val="00FB03BA"/>
    <w:rsid w:val="00FB051B"/>
    <w:rsid w:val="00FB0897"/>
    <w:rsid w:val="00FB0BAD"/>
    <w:rsid w:val="00FB2D9E"/>
    <w:rsid w:val="00FB2E8E"/>
    <w:rsid w:val="00FB64FF"/>
    <w:rsid w:val="00FB6FDD"/>
    <w:rsid w:val="00FC06E8"/>
    <w:rsid w:val="00FC521E"/>
    <w:rsid w:val="00FC5357"/>
    <w:rsid w:val="00FD110B"/>
    <w:rsid w:val="00FD1AC0"/>
    <w:rsid w:val="00FD213F"/>
    <w:rsid w:val="00FD2C81"/>
    <w:rsid w:val="00FD3C3E"/>
    <w:rsid w:val="00FD4BF7"/>
    <w:rsid w:val="00FE1B9C"/>
    <w:rsid w:val="00FE2395"/>
    <w:rsid w:val="00FE3910"/>
    <w:rsid w:val="00FE4B70"/>
    <w:rsid w:val="00FE68DA"/>
    <w:rsid w:val="00FE7E51"/>
    <w:rsid w:val="00FF680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151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F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ody,Odsek zoznamu2,Bullet Number,lp1,lp11,List Paragraph11,Bullet 1,Use Case List Paragraph"/>
    <w:basedOn w:val="Normal"/>
    <w:link w:val="ListParagraphChar"/>
    <w:uiPriority w:val="72"/>
    <w:qFormat/>
    <w:rsid w:val="002A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2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C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C3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127AF"/>
    <w:pPr>
      <w:spacing w:after="0" w:line="240" w:lineRule="auto"/>
    </w:pPr>
    <w:rPr>
      <w:lang w:val="en-US"/>
    </w:rPr>
  </w:style>
  <w:style w:type="paragraph" w:customStyle="1" w:styleId="tlPodaokraja">
    <w:name w:val="Štýl Podľa okraja"/>
    <w:basedOn w:val="Normal"/>
    <w:rsid w:val="007F1209"/>
    <w:pPr>
      <w:numPr>
        <w:ilvl w:val="1"/>
        <w:numId w:val="2"/>
      </w:num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0"/>
      <w:lang w:val="sk-SK" w:eastAsia="sk-SK"/>
    </w:rPr>
  </w:style>
  <w:style w:type="character" w:customStyle="1" w:styleId="Zkladntext2">
    <w:name w:val="Základný text (2)_"/>
    <w:basedOn w:val="DefaultParagraphFont"/>
    <w:link w:val="Zkladntext20"/>
    <w:rsid w:val="00973519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Zkladntext5Exact">
    <w:name w:val="Základný text (5) Exact"/>
    <w:basedOn w:val="DefaultParagraphFont"/>
    <w:rsid w:val="0097351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Zkladntext20">
    <w:name w:val="Základný text (2)"/>
    <w:basedOn w:val="Normal"/>
    <w:link w:val="Zkladntext2"/>
    <w:rsid w:val="00973519"/>
    <w:pPr>
      <w:widowControl w:val="0"/>
      <w:shd w:val="clear" w:color="auto" w:fill="FFFFFF"/>
      <w:spacing w:after="120" w:line="288" w:lineRule="exact"/>
      <w:ind w:hanging="720"/>
      <w:jc w:val="both"/>
    </w:pPr>
    <w:rPr>
      <w:rFonts w:ascii="Gulim" w:eastAsia="Gulim" w:hAnsi="Gulim" w:cs="Gulim"/>
      <w:sz w:val="21"/>
      <w:szCs w:val="21"/>
      <w:lang w:val="sk-SK"/>
    </w:rPr>
  </w:style>
  <w:style w:type="character" w:customStyle="1" w:styleId="Zhlavie2">
    <w:name w:val="Záhlavie #2_"/>
    <w:basedOn w:val="DefaultParagraphFont"/>
    <w:link w:val="Zhlavie20"/>
    <w:rsid w:val="004434AB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4434AB"/>
    <w:pPr>
      <w:widowControl w:val="0"/>
      <w:shd w:val="clear" w:color="auto" w:fill="FFFFFF"/>
      <w:spacing w:after="60" w:line="288" w:lineRule="exact"/>
      <w:jc w:val="both"/>
      <w:outlineLvl w:val="1"/>
    </w:pPr>
    <w:rPr>
      <w:rFonts w:ascii="Gulim" w:eastAsia="Gulim" w:hAnsi="Gulim" w:cs="Gulim"/>
      <w:sz w:val="21"/>
      <w:szCs w:val="21"/>
      <w:lang w:val="sk-SK"/>
    </w:rPr>
  </w:style>
  <w:style w:type="character" w:styleId="Hyperlink">
    <w:name w:val="Hyperlink"/>
    <w:basedOn w:val="DefaultParagraphFont"/>
    <w:uiPriority w:val="99"/>
    <w:unhideWhenUsed/>
    <w:rsid w:val="002A40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28"/>
    <w:rPr>
      <w:lang w:val="en-US"/>
    </w:rPr>
  </w:style>
  <w:style w:type="character" w:customStyle="1" w:styleId="Hlavikaalebopta">
    <w:name w:val="Hlavička alebo päta"/>
    <w:basedOn w:val="DefaultParagraphFont"/>
    <w:rsid w:val="00375B2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a">
    <w:name w:val="ra"/>
    <w:basedOn w:val="DefaultParagraphFont"/>
    <w:rsid w:val="00A25D3C"/>
  </w:style>
  <w:style w:type="character" w:customStyle="1" w:styleId="Zkladntext5">
    <w:name w:val="Základný text (5)_"/>
    <w:basedOn w:val="DefaultParagraphFont"/>
    <w:link w:val="Zkladntext50"/>
    <w:rsid w:val="00D04E62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Zkladntext6">
    <w:name w:val="Základný text (6)_"/>
    <w:basedOn w:val="DefaultParagraphFont"/>
    <w:link w:val="Zkladntext60"/>
    <w:rsid w:val="00D04E62"/>
    <w:rPr>
      <w:rFonts w:ascii="Segoe UI" w:eastAsia="Segoe UI" w:hAnsi="Segoe UI" w:cs="Segoe UI"/>
      <w:spacing w:val="-10"/>
      <w:sz w:val="30"/>
      <w:szCs w:val="30"/>
      <w:shd w:val="clear" w:color="auto" w:fill="FFFFFF"/>
    </w:rPr>
  </w:style>
  <w:style w:type="paragraph" w:customStyle="1" w:styleId="Zkladntext50">
    <w:name w:val="Základný text (5)"/>
    <w:basedOn w:val="Normal"/>
    <w:link w:val="Zkladntext5"/>
    <w:rsid w:val="00D04E62"/>
    <w:pPr>
      <w:widowControl w:val="0"/>
      <w:shd w:val="clear" w:color="auto" w:fill="FFFFFF"/>
      <w:spacing w:before="60" w:after="540" w:line="0" w:lineRule="atLeast"/>
      <w:jc w:val="both"/>
    </w:pPr>
    <w:rPr>
      <w:rFonts w:ascii="Gulim" w:eastAsia="Gulim" w:hAnsi="Gulim" w:cs="Gulim"/>
      <w:sz w:val="21"/>
      <w:szCs w:val="21"/>
      <w:lang w:val="sk-SK"/>
    </w:rPr>
  </w:style>
  <w:style w:type="paragraph" w:customStyle="1" w:styleId="Zkladntext60">
    <w:name w:val="Základný text (6)"/>
    <w:basedOn w:val="Normal"/>
    <w:link w:val="Zkladntext6"/>
    <w:rsid w:val="00D04E62"/>
    <w:pPr>
      <w:widowControl w:val="0"/>
      <w:shd w:val="clear" w:color="auto" w:fill="FFFFFF"/>
      <w:spacing w:before="300" w:after="300" w:line="0" w:lineRule="atLeast"/>
    </w:pPr>
    <w:rPr>
      <w:rFonts w:ascii="Segoe UI" w:eastAsia="Segoe UI" w:hAnsi="Segoe UI" w:cs="Segoe UI"/>
      <w:spacing w:val="-10"/>
      <w:sz w:val="30"/>
      <w:szCs w:val="30"/>
      <w:lang w:val="sk-SK"/>
    </w:rPr>
  </w:style>
  <w:style w:type="paragraph" w:styleId="FootnoteText">
    <w:name w:val="footnote text"/>
    <w:basedOn w:val="Normal"/>
    <w:link w:val="FootnoteTextChar"/>
    <w:uiPriority w:val="99"/>
    <w:unhideWhenUsed/>
    <w:rsid w:val="00A17C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7C8E"/>
    <w:rPr>
      <w:rFonts w:ascii="Arial Unicode MS" w:eastAsia="Arial Unicode MS" w:hAnsi="Arial Unicode MS" w:cs="Arial Unicode MS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7C8E"/>
    <w:rPr>
      <w:vertAlign w:val="superscript"/>
    </w:rPr>
  </w:style>
  <w:style w:type="character" w:customStyle="1" w:styleId="st">
    <w:name w:val="st"/>
    <w:basedOn w:val="DefaultParagraphFont"/>
    <w:rsid w:val="00A17C8E"/>
  </w:style>
  <w:style w:type="character" w:customStyle="1" w:styleId="Hlavikaalebopta0">
    <w:name w:val="Hlavička alebo päta_"/>
    <w:basedOn w:val="DefaultParagraphFont"/>
    <w:rsid w:val="00A17C8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MicrosoftSansSerif95bodovNietun">
    <w:name w:val="Hlavička alebo päta + Microsoft Sans Serif;9;5 bodov;Nie tučné"/>
    <w:basedOn w:val="Hlavikaalebopta0"/>
    <w:rsid w:val="00A17C8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Nzovtabuky">
    <w:name w:val="Názov tabuľky_"/>
    <w:basedOn w:val="DefaultParagraphFont"/>
    <w:link w:val="Nzovtabuky0"/>
    <w:rsid w:val="001E297E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Nzovtabuky0">
    <w:name w:val="Názov tabuľky"/>
    <w:basedOn w:val="Normal"/>
    <w:link w:val="Nzovtabuky"/>
    <w:rsid w:val="001E297E"/>
    <w:pPr>
      <w:widowControl w:val="0"/>
      <w:shd w:val="clear" w:color="auto" w:fill="FFFFFF"/>
      <w:spacing w:after="60" w:line="0" w:lineRule="atLeast"/>
      <w:jc w:val="center"/>
    </w:pPr>
    <w:rPr>
      <w:rFonts w:ascii="Gulim" w:eastAsia="Gulim" w:hAnsi="Gulim" w:cs="Gulim"/>
      <w:sz w:val="21"/>
      <w:szCs w:val="21"/>
      <w:lang w:val="sk-S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5A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5AB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C5AB8"/>
    <w:rPr>
      <w:vertAlign w:val="superscript"/>
    </w:rPr>
  </w:style>
  <w:style w:type="character" w:customStyle="1" w:styleId="ListParagraphChar">
    <w:name w:val="List Paragraph Char"/>
    <w:aliases w:val="Table of contents numbered Char,body Char,Odsek zoznamu2 Char,Bullet Number Char,lp1 Char,lp11 Char,List Paragraph11 Char,Bullet 1 Char,Use Case List Paragraph Char"/>
    <w:basedOn w:val="DefaultParagraphFont"/>
    <w:link w:val="ListParagraph"/>
    <w:uiPriority w:val="34"/>
    <w:qFormat/>
    <w:locked/>
    <w:rsid w:val="00B94572"/>
    <w:rPr>
      <w:lang w:val="en-US"/>
    </w:rPr>
  </w:style>
  <w:style w:type="character" w:customStyle="1" w:styleId="Poznmkapodiarou">
    <w:name w:val="Poznámka pod čiarou_"/>
    <w:basedOn w:val="DefaultParagraphFont"/>
    <w:link w:val="Poznmkapodiarou0"/>
    <w:rsid w:val="0034677C"/>
    <w:rPr>
      <w:rFonts w:ascii="Gulim" w:eastAsia="Gulim" w:hAnsi="Gulim" w:cs="Gulim"/>
      <w:sz w:val="14"/>
      <w:szCs w:val="14"/>
      <w:shd w:val="clear" w:color="auto" w:fill="FFFFFF"/>
    </w:rPr>
  </w:style>
  <w:style w:type="character" w:customStyle="1" w:styleId="Zkladntext2SegoeUI11bodovKurzva">
    <w:name w:val="Základný text (2) + Segoe UI;11 bodov;Kurzíva"/>
    <w:basedOn w:val="Zkladntext2"/>
    <w:rsid w:val="0034677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Poznmkapodiarou0">
    <w:name w:val="Poznámka pod čiarou"/>
    <w:basedOn w:val="Normal"/>
    <w:link w:val="Poznmkapodiarou"/>
    <w:rsid w:val="0034677C"/>
    <w:pPr>
      <w:widowControl w:val="0"/>
      <w:shd w:val="clear" w:color="auto" w:fill="FFFFFF"/>
      <w:spacing w:after="0" w:line="240" w:lineRule="exact"/>
      <w:jc w:val="both"/>
    </w:pPr>
    <w:rPr>
      <w:rFonts w:ascii="Gulim" w:eastAsia="Gulim" w:hAnsi="Gulim" w:cs="Gulim"/>
      <w:sz w:val="14"/>
      <w:szCs w:val="14"/>
      <w:lang w:val="sk-SK"/>
    </w:rPr>
  </w:style>
  <w:style w:type="character" w:customStyle="1" w:styleId="Zhlavie1">
    <w:name w:val="Záhlavie #1_"/>
    <w:basedOn w:val="DefaultParagraphFont"/>
    <w:link w:val="Zhlavie10"/>
    <w:rsid w:val="00B876A1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Zhlavie10">
    <w:name w:val="Záhlavie #1"/>
    <w:basedOn w:val="Normal"/>
    <w:link w:val="Zhlavie1"/>
    <w:rsid w:val="00B876A1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Gulim" w:eastAsia="Gulim" w:hAnsi="Gulim" w:cs="Gulim"/>
      <w:sz w:val="21"/>
      <w:szCs w:val="21"/>
      <w:lang w:val="sk-SK"/>
    </w:rPr>
  </w:style>
  <w:style w:type="character" w:customStyle="1" w:styleId="Poznmkapodiarou85bodovTunRiadkovanie0pt">
    <w:name w:val="Poznámka pod čiarou + 8;5 bodov;Tučné;Riadkovanie 0 pt"/>
    <w:basedOn w:val="Poznmkapodiarou"/>
    <w:rsid w:val="00B876A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35FA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ED"/>
    <w:rPr>
      <w:color w:val="954F72" w:themeColor="followedHyperlink"/>
      <w:u w:val="single"/>
    </w:rPr>
  </w:style>
  <w:style w:type="paragraph" w:customStyle="1" w:styleId="Default">
    <w:name w:val="Default"/>
    <w:rsid w:val="00786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AF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sih.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LA@sih.sk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ih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CLA@sih.sk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h.sk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4679-CEB1-4044-B678-9BD49CF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4372</Words>
  <Characters>24921</Characters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2020-09-11T06:56:00Z</dcterms:created>
  <dcterms:modified xsi:type="dcterms:W3CDTF">2020-09-11T06:56:00Z</dcterms:modified>
</cp:coreProperties>
</file>